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6854" w:rsidRPr="00226854" w:rsidRDefault="00226854" w:rsidP="0022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технічної</w:t>
      </w:r>
      <w:proofErr w:type="spellEnd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685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охорони</w:t>
      </w:r>
      <w:proofErr w:type="spellEnd"/>
    </w:p>
    <w:p w:rsidR="00226854" w:rsidRDefault="00226854" w:rsidP="0022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згідно</w:t>
      </w:r>
      <w:proofErr w:type="spellEnd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КОД ДК 021:2015   79710000-4 </w:t>
      </w:r>
      <w:proofErr w:type="spellStart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Охоронні</w:t>
      </w:r>
      <w:proofErr w:type="spellEnd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послуги</w:t>
      </w:r>
      <w:proofErr w:type="spellEnd"/>
      <w:r w:rsidRPr="0022685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Виконавець повинен </w:t>
      </w:r>
      <w:r w:rsidRPr="006D15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протягом </w:t>
      </w:r>
      <w:r w:rsidR="00C26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травня - грудня</w:t>
      </w:r>
      <w:r w:rsidRPr="006D15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2024 року</w:t>
      </w:r>
      <w:r w:rsidRPr="006D1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надати послуги зі спостереження та термінового реагування наряду охорони на тривожні повідомлення по визначеному каналу зв’язку з приміщень навчальних закладів управління освіти Ніжинської міської ради згідно з наступними вимогами: </w:t>
      </w:r>
    </w:p>
    <w:p w:rsidR="006D1531" w:rsidRPr="006D1531" w:rsidRDefault="006D1531" w:rsidP="006D15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Період часу охорони:</w:t>
      </w:r>
    </w:p>
    <w:p w:rsidR="006D1531" w:rsidRPr="006D1531" w:rsidRDefault="006D1531" w:rsidP="006D15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290"/>
        <w:gridCol w:w="1328"/>
        <w:gridCol w:w="1315"/>
        <w:gridCol w:w="1378"/>
        <w:gridCol w:w="1276"/>
        <w:gridCol w:w="992"/>
        <w:gridCol w:w="1730"/>
      </w:tblGrid>
      <w:tr w:rsidR="006D1531" w:rsidRPr="006D1531" w:rsidTr="007A70AB">
        <w:tc>
          <w:tcPr>
            <w:tcW w:w="1323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59528740"/>
          </w:p>
        </w:tc>
        <w:tc>
          <w:tcPr>
            <w:tcW w:w="129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Понеділок - п’ятниця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Передвихідні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Вихідні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Передсвяткові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Святкові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Орієнтовна кількість годин охорони</w:t>
            </w:r>
          </w:p>
        </w:tc>
      </w:tr>
      <w:tr w:rsidR="006D1531" w:rsidRPr="006D1531" w:rsidTr="007A70AB">
        <w:tc>
          <w:tcPr>
            <w:tcW w:w="1323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 охорони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08:00-08:00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місяць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рік</w:t>
            </w:r>
          </w:p>
        </w:tc>
      </w:tr>
      <w:tr w:rsidR="006D1531" w:rsidRPr="006D1531" w:rsidTr="007A70AB">
        <w:tc>
          <w:tcPr>
            <w:tcW w:w="1323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 охорони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531" w:rsidRPr="006D1531" w:rsidRDefault="006D1531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531" w:rsidRPr="006D1531" w:rsidRDefault="002B24C3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D1531" w:rsidRPr="006D1531" w:rsidRDefault="002B24C3" w:rsidP="006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6D1531" w:rsidRPr="006D15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bookmarkEnd w:id="0"/>
    </w:tbl>
    <w:p w:rsidR="006D1531" w:rsidRPr="00226854" w:rsidRDefault="006D1531" w:rsidP="0022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6405C" w:rsidRPr="00CB3BF6" w:rsidRDefault="006D1531" w:rsidP="006D1531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405C" w:rsidRPr="00FF517B">
        <w:rPr>
          <w:rFonts w:ascii="Times New Roman" w:hAnsi="Times New Roman"/>
          <w:sz w:val="24"/>
          <w:szCs w:val="24"/>
        </w:rPr>
        <w:t xml:space="preserve">. Назва та адреса об’єктів: </w:t>
      </w:r>
      <w:r w:rsidR="0096405C" w:rsidRPr="00CB3BF6">
        <w:rPr>
          <w:rFonts w:ascii="Times New Roman" w:hAnsi="Times New Roman"/>
          <w:b/>
          <w:bCs/>
          <w:i/>
          <w:sz w:val="24"/>
          <w:szCs w:val="24"/>
        </w:rPr>
        <w:t>заклади Управління освіти Ніжин</w:t>
      </w:r>
      <w:bookmarkStart w:id="1" w:name="_GoBack"/>
      <w:bookmarkEnd w:id="1"/>
      <w:r w:rsidR="0096405C" w:rsidRPr="00CB3BF6">
        <w:rPr>
          <w:rFonts w:ascii="Times New Roman" w:hAnsi="Times New Roman"/>
          <w:b/>
          <w:bCs/>
          <w:i/>
          <w:sz w:val="24"/>
          <w:szCs w:val="24"/>
        </w:rPr>
        <w:t>ської міської ради Чернігівської області.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103"/>
        <w:gridCol w:w="964"/>
        <w:gridCol w:w="964"/>
        <w:gridCol w:w="964"/>
        <w:gridCol w:w="964"/>
        <w:gridCol w:w="964"/>
        <w:gridCol w:w="964"/>
        <w:gridCol w:w="910"/>
      </w:tblGrid>
      <w:tr w:rsidR="0096405C" w:rsidRPr="0056693E" w:rsidTr="007A70AB">
        <w:tc>
          <w:tcPr>
            <w:tcW w:w="226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Назва та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адреса об’єкта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Понеділок-   п’ятниця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вихідні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Вихідні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1874" w:type="dxa"/>
            <w:gridSpan w:val="2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Орієнтовна кількість годин охорони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2,</w:t>
            </w:r>
          </w:p>
          <w:p w:rsidR="007A70AB" w:rsidRDefault="0096405C" w:rsidP="00B1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Ніжин,</w:t>
            </w:r>
          </w:p>
          <w:p w:rsidR="0096405C" w:rsidRPr="0056693E" w:rsidRDefault="0096405C" w:rsidP="00B12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вул. </w:t>
            </w:r>
            <w:proofErr w:type="spellStart"/>
            <w:r w:rsidR="00B12701">
              <w:rPr>
                <w:rFonts w:ascii="Times New Roman" w:hAnsi="Times New Roman"/>
                <w:sz w:val="20"/>
                <w:szCs w:val="20"/>
              </w:rPr>
              <w:t>Кушакевичів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4,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Овдіївська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9,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102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675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510"/>
        </w:trPr>
        <w:tc>
          <w:tcPr>
            <w:tcW w:w="2263" w:type="dxa"/>
            <w:vMerge w:val="restart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Богуна, 5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4D7C">
              <w:rPr>
                <w:rFonts w:ascii="Times New Roman" w:hAnsi="Times New Roman"/>
                <w:sz w:val="20"/>
                <w:szCs w:val="20"/>
              </w:rPr>
              <w:t>Час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675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left="-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6405C" w:rsidRPr="004316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13, </w:t>
            </w:r>
          </w:p>
          <w:p w:rsidR="007A70AB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Березанська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12-А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96405C" w:rsidRPr="004316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15,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158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6405C" w:rsidRPr="004316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 Приміщення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21,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102-А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56693E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56693E" w:rsidRDefault="00D40343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6405C" w:rsidRPr="0056693E">
              <w:rPr>
                <w:rFonts w:ascii="Times New Roman" w:hAnsi="Times New Roman"/>
                <w:sz w:val="20"/>
                <w:szCs w:val="20"/>
              </w:rPr>
              <w:t xml:space="preserve">. Приміщення ЗДО,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Ніжинський р-н,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Кунашівка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Незалежності, 7</w:t>
            </w: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910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96405C" w:rsidRPr="004F0D48" w:rsidTr="007A70AB">
        <w:trPr>
          <w:trHeight w:val="878"/>
        </w:trPr>
        <w:tc>
          <w:tcPr>
            <w:tcW w:w="2263" w:type="dxa"/>
            <w:vMerge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64" w:type="dxa"/>
          </w:tcPr>
          <w:p w:rsidR="0096405C" w:rsidRPr="0056693E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0" w:type="dxa"/>
          </w:tcPr>
          <w:p w:rsidR="0096405C" w:rsidRPr="0056693E" w:rsidRDefault="00C261CE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D40343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="0096405C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="0096405C"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Приміщення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25,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</w:t>
            </w:r>
            <w:r w:rsidR="007A70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Прилуцька, 160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(1-й поверх ліве крило)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(1-й поверх праве крило)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(2-й та 3-й поверх)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eastAsia="ar-SA"/>
              </w:rPr>
            </w:pPr>
          </w:p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Богуна 1/1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(4-й поверх ліве крило)</w:t>
            </w: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 w:val="restart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Ніжинський міський ліцей,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м. Ніжин, </w:t>
            </w:r>
          </w:p>
          <w:p w:rsidR="0096405C" w:rsidRDefault="00F00D0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вул. Богуна 1/1           </w:t>
            </w:r>
            <w:r w:rsidR="0096405C" w:rsidRPr="00F61F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(4-й поверх праве крило)</w:t>
            </w:r>
            <w:r w:rsidR="009640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 xml:space="preserve">Час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RPr="00F61FAD" w:rsidTr="007A70AB">
        <w:trPr>
          <w:trHeight w:val="878"/>
        </w:trPr>
        <w:tc>
          <w:tcPr>
            <w:tcW w:w="2263" w:type="dxa"/>
            <w:vMerge/>
            <w:hideMark/>
          </w:tcPr>
          <w:p w:rsidR="0096405C" w:rsidRPr="00F61FAD" w:rsidRDefault="0096405C" w:rsidP="007A70A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Кількість</w:t>
            </w:r>
            <w:proofErr w:type="spellEnd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годин </w:t>
            </w:r>
            <w:proofErr w:type="spellStart"/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охорони</w:t>
            </w:r>
            <w:proofErr w:type="spellEnd"/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  <w:hideMark/>
          </w:tcPr>
          <w:p w:rsidR="0096405C" w:rsidRPr="00F61FAD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1F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7A70AB" w:rsidRDefault="0096405C" w:rsidP="007A70AB">
            <w:pPr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майстерня школи №12 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Ніжин,</w:t>
            </w:r>
          </w:p>
          <w:p w:rsidR="0096405C" w:rsidRPr="00AB55F6" w:rsidRDefault="0096405C" w:rsidP="007A70AB">
            <w:pPr>
              <w:rPr>
                <w:rFonts w:ascii="Times New Roman" w:hAnsi="Times New Roman"/>
                <w:sz w:val="20"/>
                <w:szCs w:val="20"/>
              </w:rPr>
            </w:pP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вул.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Василівська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, 33</w:t>
            </w:r>
          </w:p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F00D0C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 «Барвінок» м.</w:t>
            </w:r>
            <w:r w:rsidR="007A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Батюка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F00D0C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 7 «Дзвіночок»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Успенська,1А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F00D0C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ЗДО №8 «</w:t>
            </w:r>
            <w:proofErr w:type="spellStart"/>
            <w:r w:rsidR="00F00D0C">
              <w:rPr>
                <w:rFonts w:ascii="Times New Roman" w:hAnsi="Times New Roman"/>
                <w:sz w:val="20"/>
                <w:szCs w:val="20"/>
              </w:rPr>
              <w:t>Кручайлик</w:t>
            </w:r>
            <w:proofErr w:type="spellEnd"/>
            <w:r w:rsidR="00F00D0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харчоблок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Ніжин,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, 185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D40343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6405C"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 ЗДО №8 «</w:t>
            </w:r>
            <w:proofErr w:type="spellStart"/>
            <w:r w:rsidR="0096405C" w:rsidRPr="00AB55F6">
              <w:rPr>
                <w:rFonts w:ascii="Times New Roman" w:hAnsi="Times New Roman"/>
                <w:sz w:val="20"/>
                <w:szCs w:val="20"/>
              </w:rPr>
              <w:t>Кручайлик</w:t>
            </w:r>
            <w:proofErr w:type="spellEnd"/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05C" w:rsidRPr="00AB55F6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="0096405C" w:rsidRPr="00AB55F6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="0096405C" w:rsidRPr="00AB55F6">
              <w:rPr>
                <w:rFonts w:ascii="Times New Roman" w:hAnsi="Times New Roman"/>
                <w:sz w:val="20"/>
                <w:szCs w:val="20"/>
              </w:rPr>
              <w:t>, 185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№14 «Соколятко» сарай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Космонавтів, 44Б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№14 «Соколятко» 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Космонавтів, 44Б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№16 «Оленка»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Набережна, 19А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№17 «Перлина»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Ніжин, вул. Шевченка, 99З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C261CE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№23 «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Розвивайко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>» пральня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D40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ЗДО №23 «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Розвивайко</w:t>
            </w:r>
            <w:proofErr w:type="spellEnd"/>
            <w:r w:rsidRPr="00AB55F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  <w:tr w:rsidR="0096405C" w:rsidTr="007A70AB">
        <w:tc>
          <w:tcPr>
            <w:tcW w:w="2263" w:type="dxa"/>
            <w:vMerge w:val="restart"/>
          </w:tcPr>
          <w:p w:rsidR="0096405C" w:rsidRPr="00AB55F6" w:rsidRDefault="0096405C" w:rsidP="007A70AB">
            <w:pPr>
              <w:rPr>
                <w:rFonts w:ascii="Times New Roman" w:hAnsi="Times New Roman"/>
                <w:sz w:val="20"/>
                <w:szCs w:val="20"/>
              </w:rPr>
            </w:pPr>
            <w:r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40343" w:rsidRPr="0043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 філіал школи №12 м.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 xml:space="preserve">Ніжин, 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B55F6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5F6">
              <w:rPr>
                <w:rFonts w:ascii="Times New Roman" w:hAnsi="Times New Roman"/>
                <w:sz w:val="20"/>
                <w:szCs w:val="20"/>
              </w:rPr>
              <w:t>Василівська</w:t>
            </w:r>
            <w:proofErr w:type="spellEnd"/>
            <w:r w:rsidR="00B12701">
              <w:rPr>
                <w:rFonts w:ascii="Times New Roman" w:hAnsi="Times New Roman"/>
                <w:sz w:val="20"/>
                <w:szCs w:val="20"/>
              </w:rPr>
              <w:t>,</w:t>
            </w:r>
            <w:r w:rsidR="00F00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70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6405C" w:rsidRPr="00AB55F6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</w:t>
            </w:r>
          </w:p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08,00-08,00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місяць</w:t>
            </w:r>
            <w:proofErr w:type="spellEnd"/>
          </w:p>
        </w:tc>
        <w:tc>
          <w:tcPr>
            <w:tcW w:w="910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рік</w:t>
            </w:r>
            <w:proofErr w:type="spellEnd"/>
          </w:p>
        </w:tc>
      </w:tr>
      <w:tr w:rsidR="0096405C" w:rsidTr="007A70AB">
        <w:tc>
          <w:tcPr>
            <w:tcW w:w="2263" w:type="dxa"/>
            <w:vMerge/>
          </w:tcPr>
          <w:p w:rsidR="0096405C" w:rsidRDefault="0096405C" w:rsidP="007A70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405C" w:rsidRPr="00AB55F6" w:rsidRDefault="0096405C" w:rsidP="007A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F6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ind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24,00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24,00 </w:t>
            </w:r>
          </w:p>
        </w:tc>
        <w:tc>
          <w:tcPr>
            <w:tcW w:w="964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726</w:t>
            </w:r>
          </w:p>
        </w:tc>
        <w:tc>
          <w:tcPr>
            <w:tcW w:w="910" w:type="dxa"/>
          </w:tcPr>
          <w:p w:rsidR="0096405C" w:rsidRPr="00AB55F6" w:rsidRDefault="0096405C" w:rsidP="007A70A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55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="00C261CE">
              <w:rPr>
                <w:rFonts w:ascii="Times New Roman" w:hAnsi="Times New Roman"/>
                <w:sz w:val="20"/>
                <w:szCs w:val="20"/>
              </w:rPr>
              <w:t>5808</w:t>
            </w:r>
          </w:p>
        </w:tc>
      </w:tr>
    </w:tbl>
    <w:p w:rsidR="006D1531" w:rsidRPr="006D1531" w:rsidRDefault="006D1531" w:rsidP="006D15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2.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Дислокація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складається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для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внесення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відповідних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коректив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Системи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централізованого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спостереження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за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допомогою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яких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«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Виконавець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»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здійснює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свої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зобов’язання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по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спостереженню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системою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сигналізації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її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обслуговування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об’єкті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</w:p>
    <w:p w:rsidR="006D1531" w:rsidRPr="006D1531" w:rsidRDefault="006D1531" w:rsidP="006D15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Замовник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прагне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отримати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послуги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належної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високої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якості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відповідних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об’ємів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конкурентною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ціною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тому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вимагає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провести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обов’язковий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огляд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об’єкту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Учасником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перед подачею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тендерної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із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залученням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фахівців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відповідної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кваліфікації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Учасник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повинен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надати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складі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копію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акту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ознайомлення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(у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довільній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формі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підписаного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уповноваженими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представниками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Учасника</w:t>
      </w:r>
      <w:proofErr w:type="spellEnd"/>
    </w:p>
    <w:p w:rsidR="006D1531" w:rsidRPr="006D1531" w:rsidRDefault="006D1531" w:rsidP="006D15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Учасник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обов'язково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обладнує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свій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рахунок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системою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тривожної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сигналізації</w:t>
      </w:r>
      <w:proofErr w:type="spellEnd"/>
      <w:r w:rsidRPr="006D153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r w:rsidRPr="006D15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якщо існуюча (встановлена) не має змоги підключитись на пульт Виконавця.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Виконавець повинен мати організаційну структуру охоронного підрозділу, яка дозволяє здійснювати охорону об’єктів Замовника: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спостереження з реагуванням 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реагування на повідомлення замовника по визначеному каналу зв’язку.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Виконавець повинен мати власний  пульт (и) централізованого спостереження з цілодобовою диспетчерською службою  і мобільні групи швидкого реагування в місті Ніжин.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5. Охоронці, які входять до складу мобільних груп реагування і здійснюють виїзд на об'єкти, що охороняються, за сигналом «Тривога», повинні мати відповідну екіпіровку: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форменний</w:t>
      </w:r>
      <w:proofErr w:type="spellEnd"/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одяг з атрибутикою охоронного підрозділу;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засоби протидії і особистого захисту;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31">
        <w:rPr>
          <w:rFonts w:ascii="Times New Roman" w:eastAsia="Times New Roman" w:hAnsi="Times New Roman" w:cs="Times New Roman"/>
          <w:sz w:val="24"/>
          <w:szCs w:val="24"/>
        </w:rPr>
        <w:t xml:space="preserve">- пневматичну та/або травматичну зброю та дозвільні документи на неї, згідно чинного законодавства.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D1531">
        <w:rPr>
          <w:rFonts w:ascii="Times New Roman" w:eastAsia="SimSun" w:hAnsi="Times New Roman" w:cs="Times New Roman"/>
          <w:sz w:val="24"/>
          <w:szCs w:val="24"/>
        </w:rPr>
        <w:t>6. В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иїзд групи </w:t>
      </w:r>
      <w:r w:rsidRPr="006D1531">
        <w:rPr>
          <w:rFonts w:ascii="Times New Roman" w:eastAsia="SimSun" w:hAnsi="Times New Roman" w:cs="Times New Roman"/>
          <w:sz w:val="24"/>
          <w:szCs w:val="24"/>
        </w:rPr>
        <w:t xml:space="preserve">швидкого реагування, 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за сигналом тривоги, здійснюється </w:t>
      </w:r>
      <w:r w:rsidRPr="006D1531">
        <w:rPr>
          <w:rFonts w:ascii="Times New Roman" w:eastAsia="SimSun" w:hAnsi="Times New Roman" w:cs="Times New Roman"/>
          <w:sz w:val="24"/>
          <w:szCs w:val="24"/>
        </w:rPr>
        <w:t xml:space="preserve">на транспорті, який 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обладнаний, відповідно до вимог </w:t>
      </w:r>
      <w:proofErr w:type="spellStart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 2 п. 12 Постанови КМ України від 18.11.2015 р. № 960</w:t>
      </w:r>
      <w:r w:rsidRPr="006D1531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«Про затвердження Ліцензійних умов провадження охоронної діяльності» (далі Постанова № 960)</w:t>
      </w:r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кольорографічними</w:t>
      </w:r>
      <w:proofErr w:type="spellEnd"/>
      <w:r w:rsidRPr="006D153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схемами (написами), які ідентифікують Учасника, зокрема, його скорочене найменування, номер телефону та емблема, транспорт повинно бути обладнано системою контролю GPS. 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повинні надаватися у відповідності до наступних нормативних документів: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Закон України «Про охоронну діяльність» від 22.03.2012р. № 4616-УІ;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Закон України «Про ліцензування видів господарської діяльності» від 02.03.2015р. № 222-УІІІ;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Ліцензійних умов провадження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охоронної діяльності» від 18.11.2015 р. № 960;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переліку спеціальних засобів, придбання, зберігання та використання яких здійснюється суб’єктами охоронної діяльності»;</w:t>
      </w:r>
    </w:p>
    <w:p w:rsidR="006D1531" w:rsidRPr="006D1531" w:rsidRDefault="006D1531" w:rsidP="006D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1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та інших нормативно-правових актів в сфері надання охоронних послуг.</w:t>
      </w:r>
    </w:p>
    <w:p w:rsidR="006D1531" w:rsidRDefault="006D1531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1531" w:rsidRPr="006F155D" w:rsidRDefault="006D1531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D1531" w:rsidRPr="006F155D" w:rsidSect="00C261CE">
      <w:pgSz w:w="11906" w:h="16838"/>
      <w:pgMar w:top="426" w:right="850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72"/>
    <w:multiLevelType w:val="hybridMultilevel"/>
    <w:tmpl w:val="F09E6FAE"/>
    <w:lvl w:ilvl="0" w:tplc="7C94A74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</w:lvl>
    <w:lvl w:ilvl="2" w:tplc="0419001B">
      <w:start w:val="1"/>
      <w:numFmt w:val="lowerRoman"/>
      <w:lvlText w:val="%3."/>
      <w:lvlJc w:val="right"/>
      <w:pPr>
        <w:ind w:left="1766" w:hanging="180"/>
      </w:pPr>
    </w:lvl>
    <w:lvl w:ilvl="3" w:tplc="0419000F">
      <w:start w:val="1"/>
      <w:numFmt w:val="decimal"/>
      <w:lvlText w:val="%4."/>
      <w:lvlJc w:val="left"/>
      <w:pPr>
        <w:ind w:left="2486" w:hanging="360"/>
      </w:pPr>
    </w:lvl>
    <w:lvl w:ilvl="4" w:tplc="04190019">
      <w:start w:val="1"/>
      <w:numFmt w:val="lowerLetter"/>
      <w:lvlText w:val="%5."/>
      <w:lvlJc w:val="left"/>
      <w:pPr>
        <w:ind w:left="3206" w:hanging="360"/>
      </w:pPr>
    </w:lvl>
    <w:lvl w:ilvl="5" w:tplc="0419001B">
      <w:start w:val="1"/>
      <w:numFmt w:val="lowerRoman"/>
      <w:lvlText w:val="%6."/>
      <w:lvlJc w:val="right"/>
      <w:pPr>
        <w:ind w:left="3926" w:hanging="180"/>
      </w:pPr>
    </w:lvl>
    <w:lvl w:ilvl="6" w:tplc="0419000F">
      <w:start w:val="1"/>
      <w:numFmt w:val="decimal"/>
      <w:lvlText w:val="%7."/>
      <w:lvlJc w:val="left"/>
      <w:pPr>
        <w:ind w:left="4646" w:hanging="360"/>
      </w:pPr>
    </w:lvl>
    <w:lvl w:ilvl="7" w:tplc="04190019">
      <w:start w:val="1"/>
      <w:numFmt w:val="lowerLetter"/>
      <w:lvlText w:val="%8."/>
      <w:lvlJc w:val="left"/>
      <w:pPr>
        <w:ind w:left="5366" w:hanging="360"/>
      </w:pPr>
    </w:lvl>
    <w:lvl w:ilvl="8" w:tplc="0419001B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251127B0"/>
    <w:multiLevelType w:val="hybridMultilevel"/>
    <w:tmpl w:val="687AAB5A"/>
    <w:lvl w:ilvl="0" w:tplc="146A69E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CB3688"/>
    <w:multiLevelType w:val="hybridMultilevel"/>
    <w:tmpl w:val="3424A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9"/>
    <w:rsid w:val="00080E9C"/>
    <w:rsid w:val="002209EC"/>
    <w:rsid w:val="00226854"/>
    <w:rsid w:val="002B24C3"/>
    <w:rsid w:val="00431679"/>
    <w:rsid w:val="00455E61"/>
    <w:rsid w:val="005148BD"/>
    <w:rsid w:val="005173D9"/>
    <w:rsid w:val="005713B4"/>
    <w:rsid w:val="005F7633"/>
    <w:rsid w:val="0061464F"/>
    <w:rsid w:val="00640F14"/>
    <w:rsid w:val="006A3833"/>
    <w:rsid w:val="006D1531"/>
    <w:rsid w:val="007A70AB"/>
    <w:rsid w:val="007B4F8D"/>
    <w:rsid w:val="0089418F"/>
    <w:rsid w:val="008D39EA"/>
    <w:rsid w:val="00936C63"/>
    <w:rsid w:val="0096405C"/>
    <w:rsid w:val="00992954"/>
    <w:rsid w:val="00B12701"/>
    <w:rsid w:val="00BA2E93"/>
    <w:rsid w:val="00C261CE"/>
    <w:rsid w:val="00D40343"/>
    <w:rsid w:val="00D94029"/>
    <w:rsid w:val="00DD67B3"/>
    <w:rsid w:val="00E71BBE"/>
    <w:rsid w:val="00EF2EF9"/>
    <w:rsid w:val="00F00D0C"/>
    <w:rsid w:val="00F03CA8"/>
    <w:rsid w:val="00F5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8024"/>
  <w15:docId w15:val="{196203A5-D029-4A14-BCF5-616EDD5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55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55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55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55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55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55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5E6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55E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51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user002</cp:lastModifiedBy>
  <cp:revision>6</cp:revision>
  <cp:lastPrinted>2023-12-11T10:39:00Z</cp:lastPrinted>
  <dcterms:created xsi:type="dcterms:W3CDTF">2024-03-25T13:06:00Z</dcterms:created>
  <dcterms:modified xsi:type="dcterms:W3CDTF">2024-03-27T14:44:00Z</dcterms:modified>
</cp:coreProperties>
</file>