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0A" w:rsidRPr="008E1CE5" w:rsidRDefault="00EC3D0A" w:rsidP="00307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sz w:val="24"/>
          <w:szCs w:val="24"/>
          <w:lang w:val="uk-UA"/>
        </w:rPr>
        <w:t>ДОГОВІР №___</w:t>
      </w:r>
    </w:p>
    <w:p w:rsidR="00307AB8" w:rsidRPr="008E1CE5" w:rsidRDefault="00307AB8" w:rsidP="00307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3D0A" w:rsidRPr="008E1CE5" w:rsidRDefault="00307AB8" w:rsidP="0030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C3D0A" w:rsidRPr="008E1CE5">
        <w:rPr>
          <w:rFonts w:ascii="Times New Roman" w:hAnsi="Times New Roman" w:cs="Times New Roman"/>
          <w:sz w:val="24"/>
          <w:szCs w:val="24"/>
          <w:lang w:val="uk-UA"/>
        </w:rPr>
        <w:t xml:space="preserve">м. Кривий Ріг                                                            </w:t>
      </w:r>
      <w:r w:rsidRPr="008E1CE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76941" w:rsidRPr="008E1CE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C3D0A" w:rsidRPr="008E1CE5">
        <w:rPr>
          <w:rFonts w:ascii="Times New Roman" w:hAnsi="Times New Roman" w:cs="Times New Roman"/>
          <w:sz w:val="24"/>
          <w:szCs w:val="24"/>
          <w:lang w:val="uk-UA"/>
        </w:rPr>
        <w:t xml:space="preserve">             «____» ________ 2024 року</w:t>
      </w:r>
    </w:p>
    <w:p w:rsidR="00307AB8" w:rsidRPr="008E1CE5" w:rsidRDefault="00307AB8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EC3D0A" w:rsidRPr="008E1CE5" w:rsidRDefault="00EC3D0A" w:rsidP="007C6C95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Виконавчий комітет Криворізької міської ради, в особі ___________________________, що діє на підставі Закону України «Про місцеве самоврядування в Україні» та Положення про виконавчий комітет Криворізької міської ради (далі – Покупець), з однієї сторони, та ________________________________, в особі __________________________________, що діє на підставі ______________________ (надалі – Постачальник), з іншої сторони, разом – Сторони, а кожна окремо – Сторона,  уклали цей Договір про нижченаведене (далі – Договір):</w:t>
      </w:r>
    </w:p>
    <w:p w:rsidR="00CF6FFB" w:rsidRPr="008E1CE5" w:rsidRDefault="00CF6FFB" w:rsidP="00CF6FFB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EC3D0A" w:rsidRPr="008E1CE5" w:rsidRDefault="00EC3D0A" w:rsidP="00B70517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 ПРЕДМЕТ ДОГОВОРУ</w:t>
      </w:r>
    </w:p>
    <w:p w:rsidR="00D80AA0" w:rsidRPr="008E1CE5" w:rsidRDefault="00D80AA0" w:rsidP="00D80AA0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1.1. Предмет Договору</w:t>
      </w:r>
      <w:r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08188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ДК 021:2015: 48730000-4 Пакети програмного забезпечення для забезпечення безпеки (Система безпечної автентифікації </w:t>
      </w:r>
      <w:hyperlink r:id="rId7" w:history="1">
        <w:proofErr w:type="spellStart"/>
        <w:r w:rsidR="0008188E" w:rsidRPr="008E1CE5">
          <w:rPr>
            <w:rFonts w:ascii="Times New Roman" w:hAnsi="Times New Roman" w:cs="Times New Roman"/>
            <w:color w:val="171717"/>
            <w:sz w:val="24"/>
            <w:szCs w:val="24"/>
            <w:lang w:val="uk-UA"/>
          </w:rPr>
          <w:t>FortiAuthenticator</w:t>
        </w:r>
        <w:proofErr w:type="spellEnd"/>
      </w:hyperlink>
      <w:r w:rsidR="0008188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з необхідним набором ліцензій та  сервісною технічною підтримкою) </w:t>
      </w:r>
      <w:r w:rsidR="00B8745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(далі – програмне забезпечення)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D80AA0" w:rsidRPr="008E1CE5" w:rsidRDefault="00CA00C5" w:rsidP="00D80AA0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1.2</w:t>
      </w:r>
      <w:r w:rsidR="00D80AA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 У порядку та на умовах, визначених Договором, Постачальник зобов'язується поставити, а Покупець зобов’язаний оплатити Пос</w:t>
      </w:r>
      <w:r w:rsidR="00D1742C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тачальнику програмне забезп</w:t>
      </w:r>
      <w:r w:rsidR="008A44F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ечення</w:t>
      </w:r>
      <w:r w:rsidR="00D80AA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EC3D0A" w:rsidRPr="008E1CE5" w:rsidRDefault="00CA00C5" w:rsidP="00D80AA0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1.3</w:t>
      </w:r>
      <w:r w:rsidR="007F3EA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. Найменування, </w:t>
      </w:r>
      <w:r w:rsidR="008A44F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кількість</w:t>
      </w:r>
      <w:r w:rsidR="007F3EA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, ціна </w:t>
      </w:r>
      <w:r w:rsidR="008A44F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програмного забезпечення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визнача</w:t>
      </w:r>
      <w:r w:rsidR="007B3003">
        <w:rPr>
          <w:rFonts w:ascii="Times New Roman" w:hAnsi="Times New Roman" w:cs="Times New Roman"/>
          <w:color w:val="171717"/>
          <w:sz w:val="24"/>
          <w:szCs w:val="24"/>
          <w:lang w:val="uk-UA"/>
        </w:rPr>
        <w:t>ються згідно із «Калькуляцією</w:t>
      </w:r>
      <w:r w:rsidR="00D80AA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»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(Додаток № 1 до Договору).</w:t>
      </w:r>
    </w:p>
    <w:p w:rsidR="00EC3D0A" w:rsidRPr="008E1CE5" w:rsidRDefault="00CA00C5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1.4</w:t>
      </w:r>
      <w:r w:rsidR="00EC3D0A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Детальний опис </w:t>
      </w:r>
      <w:r w:rsidR="008A44F4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програмного забезпечення</w:t>
      </w:r>
      <w:r w:rsidR="00EC3D0A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визначено в Додатку 2 до Договору.</w:t>
      </w:r>
    </w:p>
    <w:p w:rsidR="00EC3D0A" w:rsidRPr="008E1CE5" w:rsidRDefault="00CA00C5" w:rsidP="00B63709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1.5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. Виключні майнові права інтелектуальної власності на </w:t>
      </w:r>
      <w:r w:rsidR="0060144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програмне забезпечення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B63709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Покупцю не передаються. Покупцю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надається право ко</w:t>
      </w:r>
      <w:r w:rsidR="0060144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ристування програмним забезпеченням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EC3D0A" w:rsidRPr="008E1CE5" w:rsidRDefault="00CA00C5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1.6</w:t>
      </w:r>
      <w:r w:rsidR="002F52F8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Активація програмного забезпечення</w:t>
      </w:r>
      <w:r w:rsidR="00B63709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автоматично у кабінеті адміністратора.</w:t>
      </w:r>
    </w:p>
    <w:p w:rsidR="00EC3D0A" w:rsidRPr="008E1CE5" w:rsidRDefault="00CA00C5" w:rsidP="00A534C5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1.7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 Обсяги закупівлі за Договором можуть бути зменшен</w:t>
      </w:r>
      <w:r w:rsidR="00A534C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і залежно від розміру реального фінансування видатків Покупця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із відповідним зменшенням загальної ціни Договору.</w:t>
      </w:r>
    </w:p>
    <w:p w:rsidR="00CF6FFB" w:rsidRPr="008E1CE5" w:rsidRDefault="00CF6FFB" w:rsidP="00CF6FFB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EC3D0A" w:rsidRPr="008E1CE5" w:rsidRDefault="00EC3D0A" w:rsidP="00A534C5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2. ЯКІСТЬ ТА ГАРАНТІЇ</w:t>
      </w:r>
    </w:p>
    <w:p w:rsidR="00335895" w:rsidRPr="008E1CE5" w:rsidRDefault="007878D2" w:rsidP="004408BC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2.1. </w:t>
      </w:r>
      <w:r w:rsidR="0033589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Постачальник гарантує якість  програмного </w:t>
      </w:r>
      <w:r w:rsidR="007C6C9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</w:t>
      </w:r>
      <w:r w:rsidR="0033589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забезпечення.</w:t>
      </w:r>
      <w:r w:rsidR="004408BC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Ліцензія </w:t>
      </w:r>
      <w:r w:rsidR="001F0CA6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на програмне забезпечення </w:t>
      </w:r>
      <w:r w:rsidR="004408BC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є безстроковою, </w:t>
      </w:r>
      <w:r w:rsidR="00CE439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відповідно до п.2.6 Договору.</w:t>
      </w:r>
    </w:p>
    <w:p w:rsidR="00EC3D0A" w:rsidRPr="008E1CE5" w:rsidRDefault="00EC3D0A" w:rsidP="00335895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2.2. Постачальник надає консультативну та практичну до</w:t>
      </w:r>
      <w:r w:rsidR="00A534C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помогу щодо завантаження файлів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дистрибутивів, встановлення, основних </w:t>
      </w:r>
      <w:r w:rsidR="0012236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налагоджень програмного забезпечення, що придбано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згідно</w:t>
      </w:r>
      <w:r w:rsidR="00A534C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Договору.</w:t>
      </w:r>
    </w:p>
    <w:p w:rsidR="00EC3D0A" w:rsidRPr="008E1CE5" w:rsidRDefault="00EC3D0A" w:rsidP="00A534C5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2.3. У разі поставки </w:t>
      </w:r>
      <w:r w:rsidR="003C4032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програмного забезпечення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неналежної якості або </w:t>
      </w:r>
      <w:r w:rsidR="00A534C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виявлення недоліків, що виникли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внаслідок допущених Постачальником порушень під час поставки </w:t>
      </w:r>
      <w:r w:rsidR="003C4032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програмного забезпечення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,</w:t>
      </w:r>
      <w:r w:rsidR="00A534C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Постачальник зобов’язується за свій рахунок усунути недоліки або поставити </w:t>
      </w:r>
      <w:r w:rsidR="003C4032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програмне забезпечення</w:t>
      </w:r>
      <w:r w:rsidR="00A534C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належної якості.</w:t>
      </w:r>
    </w:p>
    <w:p w:rsidR="00EC3D0A" w:rsidRPr="008E1CE5" w:rsidRDefault="00EC3D0A" w:rsidP="008F599C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2.4. Постачальник гарантує, що використання </w:t>
      </w:r>
      <w:r w:rsidR="008F599C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Покупцем </w:t>
      </w:r>
      <w:r w:rsidR="003C4032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програмного забезпечення</w:t>
      </w:r>
      <w:r w:rsidR="008F599C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відповідно до умов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Договору не порушує будь-які авторські та майнові права інтелектуальної власності третіх осіб.</w:t>
      </w:r>
    </w:p>
    <w:p w:rsidR="00EC3D0A" w:rsidRPr="008E1CE5" w:rsidRDefault="00EC3D0A" w:rsidP="008F599C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2.5. </w:t>
      </w:r>
      <w:r w:rsidR="00CE12F7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Постачальник гарантує д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опустиме покращ</w:t>
      </w:r>
      <w:r w:rsidR="00D31F1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ення якості програмного забезпечення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за умови,</w:t>
      </w:r>
      <w:r w:rsidR="008F599C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що таке покращення не призведе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 збільшення суми, визначеної у пункті 3.1. Договору.</w:t>
      </w:r>
    </w:p>
    <w:p w:rsidR="00E06590" w:rsidRPr="008E1CE5" w:rsidRDefault="00E06590" w:rsidP="008F599C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   </w:t>
      </w:r>
      <w:r w:rsidR="00EE788F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2.6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. </w:t>
      </w:r>
      <w:r w:rsidR="004408BC">
        <w:rPr>
          <w:rFonts w:ascii="Times New Roman" w:hAnsi="Times New Roman" w:cs="Times New Roman"/>
          <w:color w:val="171717"/>
          <w:sz w:val="24"/>
          <w:szCs w:val="24"/>
          <w:lang w:val="uk-UA"/>
        </w:rPr>
        <w:t>Ліцензія</w:t>
      </w:r>
      <w:r w:rsidR="001F0CA6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на програмне забезпечення </w:t>
      </w:r>
      <w:r w:rsidR="004408BC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є</w:t>
      </w:r>
      <w:r w:rsidR="0047554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безстроковою,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Постачальник підтверджує свої гарантійні зобов’язання технічної підтримки за цим Дог</w:t>
      </w:r>
      <w:r w:rsidR="00D31F1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овором щодо програмного забезпечення</w:t>
      </w:r>
      <w:r w:rsidR="003C3432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протягом 36 (тридцяти шести) місяців</w:t>
      </w:r>
      <w:r w:rsidR="00C23293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з моменту активації,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при умові дотримання Покупцем вимог </w:t>
      </w:r>
      <w:r w:rsidR="00860B88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керівництва </w:t>
      </w:r>
      <w:r w:rsidR="00EE788F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кор</w:t>
      </w:r>
      <w:r w:rsidR="00B94AC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истувача до програмного забезпечення</w:t>
      </w:r>
      <w:r w:rsidR="00EE788F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при його використанні. </w:t>
      </w:r>
    </w:p>
    <w:p w:rsidR="00EE788F" w:rsidRPr="008E1CE5" w:rsidRDefault="00EE788F" w:rsidP="008F599C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   2.7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 Постачальник відповідає перед Покупцем за всіма гарантійними випадками, що можуть виникнути у зв’язку з викори</w:t>
      </w:r>
      <w:r w:rsidR="00B94AC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станням програмного забезпечення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09549A" w:rsidRPr="008E1CE5" w:rsidRDefault="00EE788F" w:rsidP="008F599C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</w:t>
      </w:r>
      <w:r w:rsidR="0073016B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</w:t>
      </w:r>
      <w:r w:rsidR="00CE12F7">
        <w:rPr>
          <w:rFonts w:ascii="Times New Roman" w:hAnsi="Times New Roman" w:cs="Times New Roman"/>
          <w:color w:val="171717"/>
          <w:sz w:val="24"/>
          <w:szCs w:val="24"/>
          <w:lang w:val="uk-UA"/>
        </w:rPr>
        <w:t>2.8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. Крім іншого, за цим Договором надається Технічна підтримка на </w:t>
      </w:r>
      <w:r w:rsidR="00A006C9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програмне забезпечення 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 Ви</w:t>
      </w:r>
      <w:r w:rsidR="0009549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робник</w:t>
      </w:r>
      <w:r w:rsidR="00DB049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а програмної продукції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. Технічна підтримка від Виробника 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lastRenderedPageBreak/>
        <w:t xml:space="preserve">починає свій перебіг з дати підписання Акту приймання-передачі </w:t>
      </w:r>
      <w:r w:rsidR="007B3003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програмного забезпечення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D149AF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(далі-Акт) 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та діє протягом </w:t>
      </w:r>
      <w:r w:rsidR="009601F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36  (тридцяти шести) місяців</w:t>
      </w:r>
      <w:r w:rsidR="00C23293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з моменту активації,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з можливістю звернення до Виробника за телефоном або через засоби мережі Інтернет (електронна пошта, тощо). </w:t>
      </w:r>
    </w:p>
    <w:p w:rsidR="00603DD5" w:rsidRPr="008E1CE5" w:rsidRDefault="0009549A" w:rsidP="008F599C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   </w:t>
      </w:r>
      <w:r w:rsidR="00CE12F7">
        <w:rPr>
          <w:rFonts w:ascii="Times New Roman" w:hAnsi="Times New Roman" w:cs="Times New Roman"/>
          <w:color w:val="171717"/>
          <w:sz w:val="24"/>
          <w:szCs w:val="24"/>
          <w:lang w:val="uk-UA"/>
        </w:rPr>
        <w:t>2.9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 Технічна підтримка Постача</w:t>
      </w:r>
      <w:r w:rsidR="00EA22A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льника на </w:t>
      </w:r>
      <w:r w:rsidR="009601F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програмне забезпечення 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не поширюється на випадки переробки, модифікації, неправильного використання або іншого використання, яке не в</w:t>
      </w:r>
      <w:r w:rsidR="009601F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ідповідає вимогам л</w:t>
      </w:r>
      <w:r w:rsidR="00D77BD6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іцензії або 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користувача. </w:t>
      </w:r>
    </w:p>
    <w:p w:rsidR="008F599C" w:rsidRPr="008E1CE5" w:rsidRDefault="00603DD5" w:rsidP="008F599C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  </w:t>
      </w:r>
      <w:r w:rsidR="00D27989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2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  <w:r w:rsidR="00CE12F7">
        <w:rPr>
          <w:rFonts w:ascii="Times New Roman" w:hAnsi="Times New Roman" w:cs="Times New Roman"/>
          <w:color w:val="171717"/>
          <w:sz w:val="24"/>
          <w:szCs w:val="24"/>
          <w:lang w:val="uk-UA"/>
        </w:rPr>
        <w:t>10</w:t>
      </w:r>
      <w:r w:rsidR="00D27989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У випадку виявлення помилок у роботі </w:t>
      </w:r>
      <w:r w:rsidR="009601F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програмного забезпечення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протягом гарантійного строку, Постачальник зобов'язаний протягом 14 </w:t>
      </w:r>
      <w:r w:rsidR="003D36B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(чотирнадцяти) 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календарних днів з моменту пред'явлення відповідної вимоги Покупцем за свій рахунок усунути помилки, виявлені протягом гарантійного строку, якщо не доведе, що помилки виникли внаслідок порушення Покупцем правил викор</w:t>
      </w:r>
      <w:r w:rsidR="009C1C49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истання </w:t>
      </w:r>
      <w:r w:rsidR="00061A4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програмного забезпечення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або виходять за рамки заявлених функціональних можл</w:t>
      </w:r>
      <w:r w:rsidR="00061A4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ивостей програмного забезпечення</w:t>
      </w:r>
      <w:r w:rsidR="00E0659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603DD5" w:rsidRPr="000549E6" w:rsidRDefault="00603DD5" w:rsidP="008F599C">
      <w:pPr>
        <w:tabs>
          <w:tab w:val="left" w:pos="8789"/>
          <w:tab w:val="left" w:pos="9214"/>
        </w:tabs>
        <w:spacing w:after="0" w:line="240" w:lineRule="auto"/>
        <w:ind w:right="28"/>
        <w:jc w:val="both"/>
        <w:rPr>
          <w:rFonts w:ascii="Times New Roman" w:hAnsi="Times New Roman" w:cs="Times New Roman"/>
          <w:color w:val="171717"/>
          <w:sz w:val="12"/>
          <w:szCs w:val="24"/>
          <w:lang w:val="uk-UA"/>
        </w:rPr>
      </w:pPr>
    </w:p>
    <w:p w:rsidR="00EC3D0A" w:rsidRPr="008E1CE5" w:rsidRDefault="00AF4D3E" w:rsidP="008F599C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3. ЦІНА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ДОГОВОРУ ТА ПОРЯДОК ЗДІЙСНЕННЯ ОПЛАТИ</w:t>
      </w:r>
    </w:p>
    <w:p w:rsidR="008F599C" w:rsidRPr="008E1CE5" w:rsidRDefault="00AF4D3E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3.1. </w:t>
      </w:r>
      <w:r w:rsidR="00061A4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Загальна ц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іна </w:t>
      </w:r>
      <w:r w:rsidR="00694CF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оговору становить ________________ грн., </w:t>
      </w:r>
      <w:r w:rsidR="008F599C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з/без ПДВ.</w:t>
      </w:r>
    </w:p>
    <w:p w:rsidR="00EC3D0A" w:rsidRPr="008E1CE5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3.2. Ціна</w:t>
      </w:r>
      <w:r w:rsidR="009E35D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програмного забезпечення </w:t>
      </w:r>
      <w:r w:rsidR="007869EB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визначена у Калькуляції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(Додаток 1 до Договору).</w:t>
      </w:r>
    </w:p>
    <w:p w:rsidR="00EC3D0A" w:rsidRPr="008E1CE5" w:rsidRDefault="009E35DA" w:rsidP="00694CF4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3.3. </w:t>
      </w:r>
      <w:r w:rsidR="00AF4D3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Ціна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Договору може бути зменшена за взаємною згодо</w:t>
      </w:r>
      <w:r w:rsidR="00694CF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ю Сторін, зокрема з урахуванням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факт</w:t>
      </w:r>
      <w:r w:rsidR="00694CF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ичного обсягу видатків Покупця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EC3D0A" w:rsidRPr="008E1CE5" w:rsidRDefault="009E35DA" w:rsidP="00694CF4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3.4</w:t>
      </w:r>
      <w:r w:rsidR="0067566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. До ціни Договору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включені всі витрати на сплату </w:t>
      </w:r>
      <w:r w:rsidR="00694CF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податків і зборів (обов’язкових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платежів).</w:t>
      </w:r>
    </w:p>
    <w:p w:rsidR="00EC3D0A" w:rsidRPr="008E1CE5" w:rsidRDefault="00CA00C5" w:rsidP="00E07D70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3.5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 Оп</w:t>
      </w:r>
      <w:r w:rsidR="00895760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лата за Договором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зді</w:t>
      </w:r>
      <w:r w:rsidR="00694CF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йснюється у національній валюті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України</w:t>
      </w:r>
      <w:r w:rsidR="00E563BF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,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 безготівковій формі</w:t>
      </w:r>
      <w:r w:rsidR="00E563BF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,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694CF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шляхом перерахування Покупцем </w:t>
      </w:r>
      <w:r w:rsidR="00BB24C8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відповідної грошової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сум</w:t>
      </w:r>
      <w:r w:rsidR="00BB24C8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и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на</w:t>
      </w:r>
      <w:r w:rsidR="00694CF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563BF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поточний рахунок Постачальника,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протягом 20 </w:t>
      </w:r>
      <w:r w:rsidR="00E07D7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(двадцяти)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банківських днів з дня підписання Сторонами Акту.</w:t>
      </w:r>
    </w:p>
    <w:p w:rsidR="00EC3D0A" w:rsidRPr="008E1CE5" w:rsidRDefault="00CA00C5" w:rsidP="00E07D70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3.6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 У разі затримки бюджетного фінансування розрахунок здійс</w:t>
      </w:r>
      <w:r w:rsidR="00E07D7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нюється протягом 10 (десяти) банківських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днів з дати отримання </w:t>
      </w:r>
      <w:r w:rsidR="00E07D7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Покупцем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відповідного бюджетного асигнування.</w:t>
      </w:r>
    </w:p>
    <w:p w:rsidR="00A02B7A" w:rsidRPr="000549E6" w:rsidRDefault="00A02B7A" w:rsidP="00E07D70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14"/>
          <w:szCs w:val="24"/>
          <w:lang w:val="uk-UA"/>
        </w:rPr>
      </w:pPr>
    </w:p>
    <w:p w:rsidR="00EC3D0A" w:rsidRPr="008E1CE5" w:rsidRDefault="00EC3D0A" w:rsidP="00A02B7A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4. УМОВИ ТА СТРОКИ ПОСТАВКИ</w:t>
      </w:r>
    </w:p>
    <w:p w:rsidR="006267DB" w:rsidRPr="008E1CE5" w:rsidRDefault="00EC3D0A" w:rsidP="006267DB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4.1. Поставка </w:t>
      </w:r>
      <w:r w:rsidR="006267DB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програмного забезпечення</w:t>
      </w:r>
      <w:r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здійснюється</w:t>
      </w:r>
      <w:r w:rsidR="00AB7205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267DB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протягом 15 (п’ятнадцяти) календарних днів з моменту отримання Постачальником Повідомлення від Покупця про готовність до виконання Договору.</w:t>
      </w:r>
    </w:p>
    <w:p w:rsidR="00EC3D0A" w:rsidRPr="008E1CE5" w:rsidRDefault="00EC3D0A" w:rsidP="006267DB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4.2. Постачальник зобов’язується поставити </w:t>
      </w:r>
      <w:r w:rsidR="002B7176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Покупцю </w:t>
      </w:r>
      <w:r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програмну </w:t>
      </w:r>
      <w:r w:rsidR="002B7176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продукцію у строки, визначені </w:t>
      </w:r>
      <w:r w:rsidR="00757281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цим Договором</w:t>
      </w:r>
      <w:r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3D6283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але не пізніше </w:t>
      </w:r>
      <w:r w:rsidR="00F51C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31.12.2024 р</w:t>
      </w:r>
      <w:r w:rsidR="00067B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оку</w:t>
      </w:r>
      <w:r w:rsidR="00F51C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C3D0A" w:rsidRPr="008E1CE5" w:rsidRDefault="00EC3D0A" w:rsidP="00A04F05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4.3. Передача-приймання </w:t>
      </w:r>
      <w:r w:rsidR="0075765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програмного забезпечення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здійснюється у</w:t>
      </w:r>
      <w:r w:rsidR="00A04F0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повноваженими особами Сторін на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підставі Акту.</w:t>
      </w:r>
    </w:p>
    <w:p w:rsidR="00EC3D0A" w:rsidRPr="008E1CE5" w:rsidRDefault="00241182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4.4. Програмне забезпечення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поставляється без будь-яких змін чи модифікацій з боку Постачальника.</w:t>
      </w:r>
    </w:p>
    <w:p w:rsidR="00757281" w:rsidRPr="008E1CE5" w:rsidRDefault="00A04F05" w:rsidP="00757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  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4.5. Міс</w:t>
      </w:r>
      <w:r w:rsidR="00F9506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це поставки програмного забезпечення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: </w:t>
      </w:r>
      <w:r w:rsidRPr="008E1CE5">
        <w:rPr>
          <w:rFonts w:ascii="Times New Roman" w:hAnsi="Times New Roman" w:cs="Times New Roman"/>
          <w:sz w:val="24"/>
          <w:szCs w:val="24"/>
          <w:lang w:val="uk-UA"/>
        </w:rPr>
        <w:t xml:space="preserve">50101, м. Кривий Ріг, </w:t>
      </w:r>
      <w:proofErr w:type="spellStart"/>
      <w:r w:rsidRPr="008E1CE5"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 w:rsidRPr="008E1CE5">
        <w:rPr>
          <w:rFonts w:ascii="Times New Roman" w:hAnsi="Times New Roman" w:cs="Times New Roman"/>
          <w:sz w:val="24"/>
          <w:szCs w:val="24"/>
          <w:lang w:val="uk-UA"/>
        </w:rPr>
        <w:t>. Молодіжна, 1.</w:t>
      </w:r>
    </w:p>
    <w:p w:rsidR="00EC3D0A" w:rsidRPr="008E1CE5" w:rsidRDefault="00757281" w:rsidP="00757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F72E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4.6. 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У разі виникнення претензій щодо кількості чи якості по</w:t>
      </w:r>
      <w:r w:rsidR="00F9506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ставленого  програмного забезпечення</w:t>
      </w:r>
      <w:r w:rsidR="00A36957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, Постачальник та Покупець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протягом трьох робочих днів з дня підписання Сторонами Акту</w:t>
      </w:r>
      <w:r w:rsidR="00A36957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зобов’язуються письмово узгодити перелік претензій, виклавши їх у відповідному дефектному акті</w:t>
      </w:r>
      <w:r w:rsidR="00B154B9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(далі – Дефектний акт). Відповідно до Дефектного акту Постачальник зобов’язаний здійснити</w:t>
      </w:r>
      <w:r w:rsidR="00B154B9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поставку </w:t>
      </w:r>
      <w:r w:rsidR="00F9506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програмного забезпечення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належної якості протягом трьох робочих днів з дня отримання</w:t>
      </w:r>
      <w:r w:rsidR="00B154B9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Дефектного акту або повернути Замовни</w:t>
      </w:r>
      <w:r w:rsidR="000A230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ку вартість програмного забезпечення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неналежної якості.</w:t>
      </w:r>
    </w:p>
    <w:p w:rsidR="00E23FEE" w:rsidRPr="008E1CE5" w:rsidRDefault="00E23FEE" w:rsidP="00E23FEE">
      <w:pPr>
        <w:spacing w:after="0" w:line="240" w:lineRule="auto"/>
        <w:ind w:firstLineChars="190" w:firstLine="456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4.7. Якщо Постачальник (уповноважений представник Постачальника) відмовит</w:t>
      </w:r>
      <w:r w:rsidR="002C79D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ься від участі у оформленні Дефектного акту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 недоліки, або не матиме достатніх повно</w:t>
      </w:r>
      <w:r w:rsidR="00520D2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важень на підписання такого Дефектного акту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, або не прибуде на письмовий виклик Покупця у визначений Покупцем строк, Покупець вправі скласти такий </w:t>
      </w:r>
      <w:r w:rsidR="00520D2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Дефектний акт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одноособово згідно з визначеним чинним законодавством України порядком. </w:t>
      </w:r>
    </w:p>
    <w:p w:rsidR="00B154B9" w:rsidRPr="000549E6" w:rsidRDefault="00B154B9" w:rsidP="00B154B9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10"/>
          <w:szCs w:val="24"/>
          <w:lang w:val="uk-UA"/>
        </w:rPr>
      </w:pPr>
    </w:p>
    <w:p w:rsidR="00EC3D0A" w:rsidRPr="008E1CE5" w:rsidRDefault="00EC3D0A" w:rsidP="00B154B9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 ПРАВА ТА ОБОВ’ЯЗКИ СТОРІН</w:t>
      </w:r>
    </w:p>
    <w:p w:rsidR="00EC3D0A" w:rsidRPr="008E1CE5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5.1. Постачальник зобов’язується:</w:t>
      </w:r>
    </w:p>
    <w:p w:rsidR="00EC3D0A" w:rsidRPr="008E1CE5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lastRenderedPageBreak/>
        <w:t>5.1.1. Забезпечи</w:t>
      </w:r>
      <w:r w:rsidR="00C42937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ти поставку програмного забезпечення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у строки, встановлені Договором.</w:t>
      </w:r>
    </w:p>
    <w:p w:rsidR="00EC3D0A" w:rsidRPr="008E1CE5" w:rsidRDefault="00FE40FC" w:rsidP="00B40504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5.1.2. 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Забезпечи</w:t>
      </w:r>
      <w:r w:rsidR="00C42937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ти поставку програмного забезпечення, якість якого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B4050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відповідає умовам, установленим</w:t>
      </w:r>
      <w:r w:rsidR="00190E3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B4050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Договором.</w:t>
      </w:r>
    </w:p>
    <w:p w:rsidR="00EC3D0A" w:rsidRPr="008E1CE5" w:rsidRDefault="00EC3D0A" w:rsidP="00B40504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5.1.3. Визначити відповідальних фахівців Постачальника, що будуть співпрацювати із </w:t>
      </w:r>
      <w:r w:rsidR="00B4050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Покупцем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під час вирішення технічних, організаційних та будь-яких інших питань, що пов’язані з виконанням</w:t>
      </w:r>
      <w:r w:rsidR="00190E3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B4050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Договору.</w:t>
      </w:r>
    </w:p>
    <w:p w:rsidR="00EC3D0A" w:rsidRPr="008E1CE5" w:rsidRDefault="00B40504" w:rsidP="00B40504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5.1.4. Інформувати Покупця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 будь-які обставини, що за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важають виконувати обов’язки за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Договором.</w:t>
      </w:r>
    </w:p>
    <w:p w:rsidR="00EC3D0A" w:rsidRPr="008E1CE5" w:rsidRDefault="00EC3D0A" w:rsidP="00190E3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5.1.5. Протягом всього строку дії Договору сприя</w:t>
      </w:r>
      <w:r w:rsidR="00190E3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ти Покупцю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190E3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у виконанні його зобов’язань за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Договором.</w:t>
      </w:r>
    </w:p>
    <w:p w:rsidR="00EC3D0A" w:rsidRPr="008E1CE5" w:rsidRDefault="00190E33" w:rsidP="00190E3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5.1.6. Повідомляти Покупця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про зміну реквізитів, місцезнаходже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ння, номерів телефонів та іншої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інформації, необхідної для належного виконання Договору.</w:t>
      </w:r>
    </w:p>
    <w:p w:rsidR="00EC3D0A" w:rsidRPr="008E1CE5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5.1.7. Не чинити дій, що суперечать умовам Догов</w:t>
      </w:r>
      <w:r w:rsidR="00190E3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ору і завдають збитків Покупцю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A01C53" w:rsidRPr="008E1CE5" w:rsidRDefault="00EC3D0A" w:rsidP="00A01C5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5.1.8. Належним чином виконувати інші зобов’язання, п</w:t>
      </w:r>
      <w:r w:rsidR="00A01C5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ов’язані з виконанням Договору.</w:t>
      </w:r>
    </w:p>
    <w:p w:rsidR="00EC3D0A" w:rsidRPr="008E1CE5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5.2. Постачальник має право:</w:t>
      </w:r>
    </w:p>
    <w:p w:rsidR="00EC3D0A" w:rsidRPr="008E1CE5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5.2.1. Своєчасно та в повному обсяз</w:t>
      </w:r>
      <w:r w:rsidR="0071039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і отримувати плату за поставлене програмне забезпечення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EC3D0A" w:rsidRPr="008E1CE5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5.2.2. Вимагати ві</w:t>
      </w:r>
      <w:r w:rsidR="00741FF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 Покупця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усунення будь-яких порушень, виявлених у ході виконання Договору.</w:t>
      </w:r>
    </w:p>
    <w:p w:rsidR="00EC3D0A" w:rsidRPr="008E1CE5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5.2.3. Користуватися іншими правами, передбаченими чинним законодавством України.</w:t>
      </w:r>
    </w:p>
    <w:p w:rsidR="00EC3D0A" w:rsidRPr="008E1CE5" w:rsidRDefault="00741FFE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5.3. Покупець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зобов’язаний:</w:t>
      </w:r>
    </w:p>
    <w:p w:rsidR="00EC3D0A" w:rsidRPr="008E1CE5" w:rsidRDefault="00EC3D0A" w:rsidP="00741FFE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5.3.1. Своєчасно та в повному обсязі</w:t>
      </w:r>
      <w:r w:rsidR="0071039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оплатити вартість програмного забезпечення</w:t>
      </w:r>
      <w:r w:rsidR="00741FF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, по</w:t>
      </w:r>
      <w:r w:rsidR="0071039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ставленого</w:t>
      </w:r>
      <w:r w:rsidR="00741FF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Постач</w:t>
      </w:r>
      <w:r w:rsidR="00741FF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альником та прийнятої Покупцем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на підставі Акту, в порядку та в строки, визначені</w:t>
      </w:r>
      <w:r w:rsidR="00741FF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Договором.</w:t>
      </w:r>
    </w:p>
    <w:p w:rsidR="00EC3D0A" w:rsidRPr="008E1CE5" w:rsidRDefault="00EC3D0A" w:rsidP="00741FFE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5.3.2. Повідомляти Постачальника про зміну реквізитів, місцезн</w:t>
      </w:r>
      <w:r w:rsidR="00741FF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аходження, номерів телефонів та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іншої інформації, необхідної для належного виконання Договору.</w:t>
      </w:r>
    </w:p>
    <w:p w:rsidR="00EC3D0A" w:rsidRPr="008E1CE5" w:rsidRDefault="00EC3D0A" w:rsidP="00741FFE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5.3.3. Протягом усього строку дії Договору сприяти Постачальнику </w:t>
      </w:r>
      <w:r w:rsidR="00741FF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у виконанні його зобов’язань за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Договором.</w:t>
      </w:r>
    </w:p>
    <w:p w:rsidR="00EC3D0A" w:rsidRPr="008E1CE5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5.3.4. Не чинити дій, що суперечать умовам Договору і завдають збитків Постачальнику.</w:t>
      </w:r>
    </w:p>
    <w:p w:rsidR="00EC3D0A" w:rsidRPr="008E1CE5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5.3.5. Виконувати інші зобов’язання, передбачені Договором та чинним законодавством України.</w:t>
      </w:r>
    </w:p>
    <w:p w:rsidR="00EC3D0A" w:rsidRPr="008E1CE5" w:rsidRDefault="00D149AF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5.4. Покупець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має право:</w:t>
      </w:r>
    </w:p>
    <w:p w:rsidR="00EC3D0A" w:rsidRPr="008E1CE5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5.4.1. Контролюва</w:t>
      </w:r>
      <w:r w:rsidR="00DE5AE1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ти поставку програмного забезпечення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у строки, встановлені Договором.</w:t>
      </w:r>
    </w:p>
    <w:p w:rsidR="00EC3D0A" w:rsidRPr="008E1CE5" w:rsidRDefault="00EC3D0A" w:rsidP="00D63F5D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5.4.2. Вносити зауваження, пропозиції або заперечення </w:t>
      </w:r>
      <w:r w:rsidR="00DE5AE1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щодо програмного забезпечення</w:t>
      </w:r>
      <w:r w:rsidR="00D63F5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, якщо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Постачальником порушено вимоги, вказані у Договорі.</w:t>
      </w:r>
    </w:p>
    <w:p w:rsidR="00EC3D0A" w:rsidRPr="008E1CE5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5.4.3. Отримувати необхідну практичну допомогу щодо предмета Договору, його виконання тощо.</w:t>
      </w:r>
    </w:p>
    <w:p w:rsidR="00EC3D0A" w:rsidRPr="008E1CE5" w:rsidRDefault="00EC3D0A" w:rsidP="00D63F5D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5.4.4. Достроково розірвати Договір у разі невиконання зобов’яз</w:t>
      </w:r>
      <w:r w:rsidR="00D63F5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ань Постачальником, повідомивши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його про це письмово за 15 </w:t>
      </w:r>
      <w:r w:rsidR="00D63F5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(п’ятнадцять) календарних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днів до дати розірвання.</w:t>
      </w:r>
    </w:p>
    <w:p w:rsidR="00EC3D0A" w:rsidRPr="008E1CE5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5.4.5. Мати та реалізовувати інші права, передбачені Договором та чинним законодавством України.</w:t>
      </w:r>
    </w:p>
    <w:p w:rsidR="00D63F5D" w:rsidRPr="008E1CE5" w:rsidRDefault="00D63F5D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EC3D0A" w:rsidRPr="008E1CE5" w:rsidRDefault="00EC3D0A" w:rsidP="00D63F5D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6. ВІДПОВІДАЛЬНІСТЬ СТОРІН</w:t>
      </w:r>
    </w:p>
    <w:p w:rsidR="00EC3D0A" w:rsidRPr="008E1CE5" w:rsidRDefault="00EC3D0A" w:rsidP="00D63F5D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6.1. У разі невиконання або неналежного виконання своїх зобов’язань за Договором</w:t>
      </w:r>
      <w:r w:rsidR="00D63F5D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Сторони несуть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відповідальність, передбачену чинним законодавством України та Договором.</w:t>
      </w:r>
    </w:p>
    <w:p w:rsidR="00EC3D0A" w:rsidRPr="008E1CE5" w:rsidRDefault="00EC3D0A" w:rsidP="0067009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6.2. За порушення умов зо</w:t>
      </w:r>
      <w:r w:rsidR="00FD7541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бов’язань щодо якості програмного забезпечення</w:t>
      </w:r>
      <w:r w:rsidR="0067009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Постачальник сплачує Покупцю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штраф у розмiрi 20% вapтocт</w:t>
      </w:r>
      <w:r w:rsidR="00FD7541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i неякісної програмного забезпечення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EC3D0A" w:rsidRPr="008E1CE5" w:rsidRDefault="00EC3D0A" w:rsidP="002E0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6.3. За порушення строків виконання зобов’язання Постачальник сплачує </w:t>
      </w:r>
      <w:r w:rsidR="0067009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Покупцю пеню у розмірі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0,</w:t>
      </w:r>
      <w:r w:rsidR="00476080">
        <w:rPr>
          <w:rFonts w:ascii="Times New Roman" w:hAnsi="Times New Roman" w:cs="Times New Roman"/>
          <w:color w:val="171717"/>
          <w:sz w:val="24"/>
          <w:szCs w:val="24"/>
          <w:lang w:val="uk-UA"/>
        </w:rPr>
        <w:t>1% ціни Договору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, </w:t>
      </w:r>
      <w:r w:rsidR="00E93175" w:rsidRPr="008E1CE5">
        <w:rPr>
          <w:rFonts w:ascii="Times New Roman" w:hAnsi="Times New Roman" w:cs="Times New Roman"/>
          <w:sz w:val="24"/>
          <w:szCs w:val="24"/>
          <w:lang w:val="uk-UA"/>
        </w:rPr>
        <w:t xml:space="preserve">але не більше 2-х облікових ставок НБУ, що діяла у період, за </w:t>
      </w:r>
      <w:r w:rsidR="00E93175" w:rsidRPr="008E1CE5">
        <w:rPr>
          <w:rFonts w:ascii="Times New Roman" w:hAnsi="Times New Roman" w:cs="Times New Roman"/>
          <w:sz w:val="24"/>
          <w:szCs w:val="24"/>
          <w:lang w:val="uk-UA"/>
        </w:rPr>
        <w:lastRenderedPageBreak/>
        <w:t>який сплачується штраф від вартості неналежно виконаних  зобов’язань,  з яких  допущено  прострочення  виконання  за  кожний день прострочення</w:t>
      </w:r>
      <w:r w:rsidR="00735D68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</w:p>
    <w:p w:rsidR="00BC7744" w:rsidRPr="008E1CE5" w:rsidRDefault="00BC7744" w:rsidP="00BC7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Chars="209" w:firstLine="502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sz w:val="24"/>
          <w:szCs w:val="24"/>
          <w:lang w:val="uk-UA"/>
        </w:rPr>
        <w:t>6.4. За повне невиконання Постачальником зобов’язань, визначених у цьому Договорі (невиконання Договору взагалі, також коли Постачальник не приступив до виконання зобов’язань протягом передбачених Договором строків (термінів), відмову від Договору тощо, тобто, коли Покупець за результатом бездіяльності/неналежних дій Постачальника зовсім не отримав передбаченого предметом Договору), Постачальник зобов’язаний сплатити на користь Покупця штраф у розмірі 30 (тридцяти) відсотк</w:t>
      </w:r>
      <w:r w:rsidR="00543955" w:rsidRPr="008E1CE5">
        <w:rPr>
          <w:rFonts w:ascii="Times New Roman" w:hAnsi="Times New Roman" w:cs="Times New Roman"/>
          <w:sz w:val="24"/>
          <w:szCs w:val="24"/>
          <w:lang w:val="uk-UA"/>
        </w:rPr>
        <w:t>ів вартості програмного забезпечення</w:t>
      </w:r>
      <w:r w:rsidRPr="008E1CE5">
        <w:rPr>
          <w:rFonts w:ascii="Times New Roman" w:hAnsi="Times New Roman" w:cs="Times New Roman"/>
          <w:sz w:val="24"/>
          <w:szCs w:val="24"/>
          <w:lang w:val="uk-UA"/>
        </w:rPr>
        <w:t xml:space="preserve"> (ціни Договору).</w:t>
      </w:r>
    </w:p>
    <w:p w:rsidR="00EC3D0A" w:rsidRPr="008E1CE5" w:rsidRDefault="00BC7744" w:rsidP="00BA57E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6.5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. Сплата штрафних санкцій не звільняє Постачальника </w:t>
      </w:r>
      <w:proofErr w:type="spellStart"/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вiд</w:t>
      </w:r>
      <w:proofErr w:type="spellEnd"/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обов’я</w:t>
      </w:r>
      <w:r w:rsidR="00BA57E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зку </w:t>
      </w:r>
      <w:proofErr w:type="spellStart"/>
      <w:r w:rsidR="00BA57E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замiнити</w:t>
      </w:r>
      <w:proofErr w:type="spellEnd"/>
      <w:r w:rsidR="00BA57E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не</w:t>
      </w:r>
      <w:r w:rsidR="00543955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якісне програмне забезпечення</w:t>
      </w:r>
      <w:r w:rsidR="00735D68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на програмне забезпечення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належної якості </w:t>
      </w:r>
      <w:r w:rsidR="00AD59F2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відповідно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до умо</w:t>
      </w:r>
      <w:r w:rsidR="00BA57E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в Договору у </w:t>
      </w:r>
      <w:proofErr w:type="spellStart"/>
      <w:r w:rsidR="00BA57E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разi</w:t>
      </w:r>
      <w:proofErr w:type="spellEnd"/>
      <w:r w:rsidR="00BA57E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, якщо Покупець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BA57E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відповідно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до</w:t>
      </w:r>
      <w:r w:rsidR="00BA57E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Договору висуне претензію (вимогу) про таку заміну.</w:t>
      </w:r>
    </w:p>
    <w:p w:rsidR="004A0C1B" w:rsidRPr="008E1CE5" w:rsidRDefault="00BC7744" w:rsidP="00BA57E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6.6. </w:t>
      </w:r>
      <w:r w:rsidR="004A0C1B" w:rsidRPr="008E1CE5">
        <w:rPr>
          <w:rFonts w:ascii="Times New Roman" w:hAnsi="Times New Roman" w:cs="Times New Roman"/>
          <w:sz w:val="24"/>
          <w:szCs w:val="24"/>
          <w:lang w:val="uk-UA"/>
        </w:rPr>
        <w:t>Сторони погодили, що не є підставою для нарахування штрафних санкцій (штрафу, пені) порушення грошових зобов’язань Покупцем, яке сталось внаслідок ненадходження чи несвоєчасного надходження бюджетних коштів на рахунок Покупця або зміни обсягів бюджетного фінансування видатків Покупця.</w:t>
      </w:r>
    </w:p>
    <w:p w:rsidR="004A0C1B" w:rsidRPr="008E1CE5" w:rsidRDefault="004A0C1B" w:rsidP="00BA57E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83782" w:rsidRPr="008E1CE5" w:rsidRDefault="00EC3D0A" w:rsidP="00A01C53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7. ФОРС-МАЖОРНІ ОБСТАВИНИ (ОБСТАВИНИ НЕПЕРЕБОРНОЇ СИЛИ)</w:t>
      </w:r>
    </w:p>
    <w:p w:rsidR="00EC3D0A" w:rsidRPr="008E1CE5" w:rsidRDefault="00EC3D0A" w:rsidP="0082534B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7.1. Сторона звільняється від визначеної Договором та/або </w:t>
      </w:r>
      <w:r w:rsidR="0082534B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чинним в Україні законодавством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відповідальності за порушення умов Договору, якщо вона доведе, що таке порушення сталося</w:t>
      </w:r>
      <w:r w:rsidR="0082534B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внаслідок дії форс-мажорних обставин (обставин непереборної сили), визначених у Договорі, за</w:t>
      </w:r>
      <w:r w:rsidR="0082534B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умови, що настання таких обставин засвідчено </w:t>
      </w:r>
      <w:r w:rsidR="008F3383">
        <w:rPr>
          <w:rFonts w:ascii="Times New Roman" w:hAnsi="Times New Roman" w:cs="Times New Roman"/>
          <w:color w:val="171717"/>
          <w:sz w:val="24"/>
          <w:szCs w:val="24"/>
          <w:lang w:val="uk-UA"/>
        </w:rPr>
        <w:t>у визначеному Договором порядку, та їх не існувало на момент укладення Договору.</w:t>
      </w:r>
    </w:p>
    <w:p w:rsidR="00EC3D0A" w:rsidRPr="008E1CE5" w:rsidRDefault="00EC3D0A" w:rsidP="006E45B9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7.2. Під форс-мажорними обставинами (обставинами непереборн</w:t>
      </w:r>
      <w:r w:rsidR="0082534B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ої сили) у Договорі розуміються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надзвичайні та невідворотні обставини, що об’єктивно унеможливлюють виконання зобов’язань,</w:t>
      </w:r>
      <w:r w:rsidR="0082534B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передбачених умовами Д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оговору (контракту, угоди тощо), обов’язків згідно із законодавчими та</w:t>
      </w:r>
      <w:r w:rsidR="0082534B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іншими нормативними актами, а саме: загроза війни, збройний конфлікт або серйозна погроза такого</w:t>
      </w:r>
      <w:r w:rsidR="007330C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конфлікту, включаючи але не обмежуючись ворожими атаками,</w:t>
      </w:r>
      <w:r w:rsidR="007330C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блокадами, військовим ембарго, дії</w:t>
      </w:r>
      <w:r w:rsidR="007330C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іноземного ворога, загальна військова мобілізація, військові</w:t>
      </w:r>
      <w:r w:rsidR="007330C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дії, оголошена та неоголошена війна, дії</w:t>
      </w:r>
      <w:r w:rsidR="007330C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суспільного ворога, збурення, акти тероризму, диверсії, піратства, безлади, вторгнення, блокада,</w:t>
      </w:r>
      <w:r w:rsidR="007330C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революція, заколот, повстання, масові заворушення, введення комендантської години, карантину,</w:t>
      </w:r>
      <w:r w:rsidR="007330C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встановленого Кабінетом Міністрів України, експропріація, примусове вилучення, захоплення</w:t>
      </w:r>
      <w:r w:rsidR="007330C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підприємств, реквізиція, громадська демонстрація, блокада, страйк, аварія, протиправні дії третіх осіб,</w:t>
      </w:r>
      <w:r w:rsidR="007330C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пожежа, вибух, тривалі перерви в роботі транспорту, регламентовані умовами відповідних рішень та</w:t>
      </w:r>
      <w:r w:rsidR="007330C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актами державних органів влади, закриття морських </w:t>
      </w:r>
      <w:proofErr w:type="spellStart"/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проток</w:t>
      </w:r>
      <w:proofErr w:type="spellEnd"/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, ембарго, заборона (обмеження)</w:t>
      </w:r>
      <w:r w:rsidR="007330C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експорту/імпорту тощо, а також викликані винятковими погодними умовами і стихійним лихом, а</w:t>
      </w:r>
      <w:r w:rsidR="007330C0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саме: епідемія, сильний шторм, циклон, ураган, торнадо, буревій, повінь, нагромадження снігу,</w:t>
      </w:r>
      <w:r w:rsidR="006E45B9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ожеледь, град, заморозки, замерзання моря, </w:t>
      </w:r>
      <w:proofErr w:type="spellStart"/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проток</w:t>
      </w:r>
      <w:proofErr w:type="spellEnd"/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, портів, перевалів, землетрус, блискавка, пожежа,</w:t>
      </w:r>
      <w:r w:rsidR="006E45B9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посуха, просідання і зсув ґрунту, інші стихійні лиха тощо.</w:t>
      </w:r>
    </w:p>
    <w:p w:rsidR="00EC3D0A" w:rsidRPr="008E1CE5" w:rsidRDefault="00EC3D0A" w:rsidP="006E45B9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7.3. Сторона, що має намір посилатися на форс-мажорні обставини (обставини непе</w:t>
      </w:r>
      <w:r w:rsidR="006E45B9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реборної сили),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повинна протягом семи днів із застосуванням технічних засобів миттєвого зв’язку (телеграма,</w:t>
      </w:r>
      <w:r w:rsidR="006E45B9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факсограма, електронна пошта) письмово повідомити іншу Сторону про наявність таких обставин та</w:t>
      </w:r>
      <w:r w:rsidR="006E45B9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їх вплив на виконання зобов’язань за Договором.</w:t>
      </w:r>
    </w:p>
    <w:p w:rsidR="00EC3D0A" w:rsidRPr="008E1CE5" w:rsidRDefault="00EC3D0A" w:rsidP="00A5795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7.4. Неповідомлення або несвоєчасне повідомлення однієї зі Ст</w:t>
      </w:r>
      <w:r w:rsidR="006E45B9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орін про неможливість виконання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прийнятих за Договором зобов’язань внаслідок дії форс-мажорних обставин (обставин непереборної</w:t>
      </w:r>
      <w:r w:rsidR="006E45B9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сили), позбавляє Сторону права посилатися на будь-яку вищевказану обставину, визначену в пункті</w:t>
      </w:r>
      <w:r w:rsidR="00A5795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7.2. Договору, як на підставу, що звільняє від відповідальності за невиконання зобов’язань.</w:t>
      </w:r>
    </w:p>
    <w:p w:rsidR="00EC3D0A" w:rsidRPr="008E1CE5" w:rsidRDefault="00EC3D0A" w:rsidP="00A5795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lastRenderedPageBreak/>
        <w:t>7.5. Наявність форс-мажорних обставин (обставин непереборної си</w:t>
      </w:r>
      <w:r w:rsidR="00A5795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ли) підтверджується відповідним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сертифікатом, виданим Торгово-промисловою палатою України або уповноваженими нею</w:t>
      </w:r>
      <w:r w:rsidR="00A5795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регіональними торгово-промисловими палатами.</w:t>
      </w:r>
    </w:p>
    <w:p w:rsidR="00A57953" w:rsidRPr="008E1CE5" w:rsidRDefault="00A57953" w:rsidP="00A5795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EC3D0A" w:rsidRPr="008E1CE5" w:rsidRDefault="00EC3D0A" w:rsidP="00A57953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8. ВИРІШЕННЯ СПОРІВ</w:t>
      </w:r>
    </w:p>
    <w:p w:rsidR="00EC3D0A" w:rsidRPr="008E1CE5" w:rsidRDefault="00EC3D0A" w:rsidP="00A5795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8.1. Усі спірні питання та розбіжності, що пов’язані з виконанням,</w:t>
      </w:r>
      <w:r w:rsidR="00A5795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внесенням змін або розірванням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Договору підлягають вирішенню шляхом переговорів. У разі недосягнення Сторонами згоди, спори</w:t>
      </w:r>
      <w:r w:rsidR="00A5795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(розбіжності) вирішуються у судовому порядку відповідно до чинного законодавства України.</w:t>
      </w:r>
    </w:p>
    <w:p w:rsidR="00A57953" w:rsidRPr="008E1CE5" w:rsidRDefault="00A57953" w:rsidP="00A5795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EC3D0A" w:rsidRPr="008E1CE5" w:rsidRDefault="00EC3D0A" w:rsidP="00A57953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9. СТРОК ДІЇ ДОГОВОРУ</w:t>
      </w:r>
    </w:p>
    <w:p w:rsidR="00EC3D0A" w:rsidRPr="008E1CE5" w:rsidRDefault="00EC3D0A" w:rsidP="003B20DF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9.1. Договір набуває чинності з моменту його під</w:t>
      </w:r>
      <w:r w:rsidR="00A5795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писання та діє до 31 грудня 2024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року, але у будь</w:t>
      </w:r>
      <w:r w:rsidR="00A5795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-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якому випадку до повного виконання Сторонами своїх зобов</w:t>
      </w:r>
      <w:r w:rsidR="003B20DF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’язань, а в частині гарантійних </w:t>
      </w:r>
      <w:r w:rsidR="009B336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зобов’язань протягом 36 (тридцяти шести) місяців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з дат</w:t>
      </w:r>
      <w:r w:rsidR="009B336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и активації програмного забезпечення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</w:t>
      </w:r>
    </w:p>
    <w:p w:rsidR="00EC3D0A" w:rsidRPr="008E1CE5" w:rsidRDefault="00EC3D0A" w:rsidP="003B20DF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9.2. Закінчення дії Договору не звільняє Сторін від відповідальності за його порушен</w:t>
      </w:r>
      <w:r w:rsidR="003B20DF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ня, яке мало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місце під час його дії.</w:t>
      </w:r>
    </w:p>
    <w:p w:rsidR="003B20DF" w:rsidRPr="008E1CE5" w:rsidRDefault="003B20DF" w:rsidP="003B20DF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EC3D0A" w:rsidRPr="008E1CE5" w:rsidRDefault="00EC3D0A" w:rsidP="003B20DF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10. ПОРЯДОК ВНЕСЕННЯ ЗМІН ДО ДОГОВОРУ</w:t>
      </w:r>
    </w:p>
    <w:p w:rsidR="00EC3D0A" w:rsidRPr="008E1CE5" w:rsidRDefault="00EC3D0A" w:rsidP="003B20DF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10.1. Умови Договору можуть змінюватися за взаємною з</w:t>
      </w:r>
      <w:r w:rsidR="003B20DF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годою Сторін відповідно до норм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Цивільного кодексу України та Господарського кодексу України з дотриманням вимог, визначених</w:t>
      </w:r>
      <w:r w:rsidR="003B20DF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Законом України «Про публічні закупівлі» та Особливостей здійснення публічних закупівель товарів,</w:t>
      </w:r>
      <w:r w:rsidR="003B20DF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робіт і послуг для замовників, передбачених Законом України «Про публічні закупівлі», на період дії</w:t>
      </w:r>
      <w:r w:rsidR="003B20DF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правового режиму воєнного стану в Україні та протягом 90 днів з дня його припинення або</w:t>
      </w:r>
      <w:r w:rsidR="003B20DF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скасування, затверджених постановою Кабінету Міністрів України від 12.10.2022 року № 1178</w:t>
      </w:r>
      <w:r w:rsidR="0044710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(далі-Особливості</w:t>
      </w:r>
      <w:r w:rsidR="003B20DF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)</w:t>
      </w:r>
      <w:r w:rsidR="0044710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, зі змінами.</w:t>
      </w:r>
    </w:p>
    <w:p w:rsidR="00EC3D0A" w:rsidRPr="008E1CE5" w:rsidRDefault="00EC3D0A" w:rsidP="00286247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10.2. Усі повідомлення, що робляться у зв’язку із Договором, повинні </w:t>
      </w:r>
      <w:r w:rsidR="003B20DF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здійснюватися</w:t>
      </w:r>
      <w:r w:rsidR="00286247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письмово й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будуть вважатися надісланими, якщо вони передаються за допомогою факсимільного або</w:t>
      </w:r>
      <w:r w:rsidR="00286247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електронного зв’язку, з подальшою передачею цих повідомлень особисто, надсилаються</w:t>
      </w:r>
      <w:r w:rsidR="00286247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рекомендованою кореспонденцією, або кур’єрською поштою на зазначені в Договорі адреси.</w:t>
      </w:r>
    </w:p>
    <w:p w:rsidR="00EC3D0A" w:rsidRPr="008E1CE5" w:rsidRDefault="00EC3D0A" w:rsidP="00286247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10.3. Зміни та доповнення до Договору дійсні лише у тому випадку,</w:t>
      </w:r>
      <w:r w:rsidR="00286247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якщо вони виконані у письмовій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формі і підписані уповноваженими представниками Сторін.</w:t>
      </w:r>
    </w:p>
    <w:p w:rsidR="00EC3D0A" w:rsidRPr="008E1CE5" w:rsidRDefault="008F3383" w:rsidP="00447104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10.4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. Істотними умовами Договору є предмет Договору (найменування, </w:t>
      </w:r>
      <w:r w:rsidR="00286247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якість, кількість), ціна, строк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поставки програмної продукції та строк дії Договору. Істотні умови Договору не можуть змінюватися</w:t>
      </w:r>
      <w:r w:rsidR="00286247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після його підписання до виконання зобов’язань Сторонами </w:t>
      </w:r>
      <w:r w:rsidR="007805EC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 повному обсязі, кр</w:t>
      </w:r>
      <w:r w:rsidR="00447104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ім випадків, визначених пунктом 19 Особливостей.</w:t>
      </w:r>
    </w:p>
    <w:p w:rsidR="006929C3" w:rsidRPr="008E1CE5" w:rsidRDefault="006929C3" w:rsidP="00447104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EC3D0A" w:rsidRPr="008E1CE5" w:rsidRDefault="00EC3D0A" w:rsidP="006929C3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11. ІНШІ УМОВИ</w:t>
      </w:r>
    </w:p>
    <w:p w:rsidR="00EC3D0A" w:rsidRPr="008E1CE5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11.1. Договір укладається і підписується у двох примірниках, що мають однакову юридичну силу.</w:t>
      </w:r>
    </w:p>
    <w:p w:rsidR="00EC3D0A" w:rsidRPr="008E1CE5" w:rsidRDefault="00EC3D0A" w:rsidP="006929C3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11.2. Усі правовідносини, що виникають з Договору, або пов’язані із</w:t>
      </w:r>
      <w:r w:rsidR="006929C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ним, у тому числі пов’язані із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дійсністю, укладенням, виконанням, зміною та припиненням Договору, тлумаченням його умов,</w:t>
      </w:r>
      <w:r w:rsidR="006929C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визначенням наслідків недійсності або порушення Договору, регулюються Договором та</w:t>
      </w:r>
      <w:r w:rsidR="006929C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відповідними нормами чинного законодавства України, а також звичаями ділового обороту, які</w:t>
      </w:r>
      <w:r w:rsidR="006929C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застосовуються до таких правовідносин на підставі принципів добросовісності, розумності та</w:t>
      </w:r>
      <w:r w:rsidR="006929C3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справедливості.</w:t>
      </w:r>
    </w:p>
    <w:p w:rsidR="00EC3D0A" w:rsidRPr="008E1CE5" w:rsidRDefault="00EC3D0A" w:rsidP="003446AE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11.3. Сторона не вправі уступати права вимоги та/або здійснюв</w:t>
      </w:r>
      <w:r w:rsidR="003446A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ати переведення боргу за своїми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зобов’язаннями, які виникли у зв’язку з укладенням Договору, на користь будь-яких третіх осіб без</w:t>
      </w:r>
      <w:r w:rsidR="003446A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письмової згоди іншої Сторони.</w:t>
      </w:r>
    </w:p>
    <w:p w:rsidR="00EC3D0A" w:rsidRPr="008E1CE5" w:rsidRDefault="00EC3D0A" w:rsidP="003446AE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11.4. Сторони повинні поважати та захищати законні права одне</w:t>
      </w:r>
      <w:r w:rsidR="003446AE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одного, пов’язані з виконанням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Договору.</w:t>
      </w:r>
    </w:p>
    <w:p w:rsidR="00EC3D0A" w:rsidRPr="008E1CE5" w:rsidRDefault="003446AE" w:rsidP="003446AE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lastRenderedPageBreak/>
        <w:t>11.5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. Представники Сторін, які уповноважені на укладання Договору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, погодились, що їх персональні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дані, які стали відомі Сторонам у зв’язку із укладанням Договору, обробляються згідно з вимогами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чинного законодавства України. Підписуючи Договір уповноважені представники Сторін дають згоду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на обробку їх персональних даних з метою підтвердження повноважень на укладення, зміну та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="00EC3D0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розірвання Договору, а також забезпечення реалізації інших передбачених законодавством відносин.</w:t>
      </w:r>
    </w:p>
    <w:p w:rsidR="00EC3D0A" w:rsidRPr="008E1CE5" w:rsidRDefault="00EC3D0A" w:rsidP="00855E4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Підписанням Договору представники Сторін підтверджують, що</w:t>
      </w:r>
      <w:r w:rsidR="00855E4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вони були повідомлені про свої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права відповідно до статті 8 Закону України «Про захист персональних даних», їм надана інформація</w:t>
      </w:r>
      <w:r w:rsidR="00855E4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щодо мети обробки їх персональних даних та про дії з ними, осіб, яким вони можуть бути передані.</w:t>
      </w:r>
    </w:p>
    <w:p w:rsidR="00EC3D0A" w:rsidRPr="008E1CE5" w:rsidRDefault="00EC3D0A" w:rsidP="00855E4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Сторони забезпечують захист персональних даних, які стали ві</w:t>
      </w:r>
      <w:r w:rsidR="00855E4A"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домі кожній із Сторін у процесі 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виконання Договору згідно з вимогами чинного законодавства України.</w:t>
      </w:r>
    </w:p>
    <w:p w:rsidR="00855E4A" w:rsidRPr="008E1CE5" w:rsidRDefault="00855E4A" w:rsidP="00855E4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EC3D0A" w:rsidRPr="008E1CE5" w:rsidRDefault="00EC3D0A" w:rsidP="00855E4A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12. ДОДАТКИ ДО ДОГОВОРУ</w:t>
      </w:r>
    </w:p>
    <w:p w:rsidR="00EC3D0A" w:rsidRPr="008E1CE5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12.1. Невід’ємною частиною Договору є:</w:t>
      </w:r>
    </w:p>
    <w:p w:rsidR="00EC3D0A" w:rsidRPr="008E1CE5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Додато</w:t>
      </w:r>
      <w:r w:rsidR="0099046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 № 1 «Калькуляція</w:t>
      </w:r>
      <w:r w:rsidR="005027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855E4A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C3D0A" w:rsidRPr="008E1CE5" w:rsidRDefault="00855E4A" w:rsidP="00855E4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 </w:t>
      </w:r>
      <w:r w:rsidR="00EC3D0A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Додаток № 2 «Інформація </w:t>
      </w:r>
      <w:r w:rsidR="009C60FC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необхідні технічні, якісні та </w:t>
      </w:r>
      <w:r w:rsidR="00EC3D0A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кількісні </w:t>
      </w:r>
      <w:r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характеристики предмета </w:t>
      </w:r>
      <w:r w:rsidR="00EC3D0A" w:rsidRPr="008E1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закупівлі (технічні вимоги)» </w:t>
      </w:r>
    </w:p>
    <w:p w:rsidR="00855E4A" w:rsidRPr="008E1CE5" w:rsidRDefault="00855E4A" w:rsidP="00855E4A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E27B0" w:rsidRDefault="00EC3D0A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13. МІСЦЕЗНАХОДЖЕННЯ ТА БАНКІВСЬКІ РЕКВІЗИТИ СТОРІН</w:t>
      </w:r>
    </w:p>
    <w:p w:rsidR="001D0EAE" w:rsidRPr="008E1CE5" w:rsidRDefault="001D0EAE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1D0EAE" w:rsidRDefault="001D0EAE" w:rsidP="001D0EAE">
      <w:pPr>
        <w:tabs>
          <w:tab w:val="left" w:pos="8789"/>
          <w:tab w:val="left" w:pos="9214"/>
        </w:tabs>
        <w:spacing w:after="0" w:line="240" w:lineRule="auto"/>
        <w:ind w:right="28"/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</w:pPr>
      <w:r w:rsidRPr="001D0EAE"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  <w:t>Покупець:</w:t>
      </w:r>
      <w:r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  <w:t xml:space="preserve">                                                                                     Постачальник:</w:t>
      </w:r>
    </w:p>
    <w:tbl>
      <w:tblPr>
        <w:tblpPr w:leftFromText="180" w:rightFromText="180" w:vertAnchor="text" w:horzAnchor="margin" w:tblpXSpec="center" w:tblpY="172"/>
        <w:tblW w:w="98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18"/>
      </w:tblGrid>
      <w:tr w:rsidR="000549E6" w:rsidRPr="000549E6" w:rsidTr="001D0EAE">
        <w:trPr>
          <w:trHeight w:val="4615"/>
        </w:trPr>
        <w:tc>
          <w:tcPr>
            <w:tcW w:w="9818" w:type="dxa"/>
            <w:shd w:val="clear" w:color="auto" w:fill="auto"/>
          </w:tcPr>
          <w:p w:rsidR="000549E6" w:rsidRPr="000549E6" w:rsidRDefault="000549E6" w:rsidP="001D0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9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Виконавчий комітет Криворізької </w:t>
            </w:r>
          </w:p>
          <w:p w:rsidR="000549E6" w:rsidRPr="000549E6" w:rsidRDefault="000549E6" w:rsidP="001D0E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9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0549E6" w:rsidRPr="000549E6" w:rsidRDefault="000549E6" w:rsidP="001D0EA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E6">
              <w:rPr>
                <w:rFonts w:ascii="Times New Roman" w:hAnsi="Times New Roman" w:cs="Times New Roman"/>
                <w:sz w:val="24"/>
                <w:szCs w:val="24"/>
              </w:rPr>
              <w:t>Адреса: 50101</w:t>
            </w:r>
            <w:r w:rsidRPr="0005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5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9E6">
              <w:rPr>
                <w:rFonts w:ascii="Times New Roman" w:hAnsi="Times New Roman" w:cs="Times New Roman"/>
                <w:sz w:val="24"/>
                <w:szCs w:val="24"/>
              </w:rPr>
              <w:t>Дніпропетровська</w:t>
            </w:r>
            <w:proofErr w:type="spellEnd"/>
            <w:r w:rsidRPr="000549E6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0549E6" w:rsidRPr="000549E6" w:rsidRDefault="000549E6" w:rsidP="001D0EA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E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549E6">
              <w:rPr>
                <w:rFonts w:ascii="Times New Roman" w:hAnsi="Times New Roman" w:cs="Times New Roman"/>
                <w:sz w:val="24"/>
                <w:szCs w:val="24"/>
              </w:rPr>
              <w:t>Кривий</w:t>
            </w:r>
            <w:proofErr w:type="spellEnd"/>
            <w:r w:rsidRPr="0005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9E6">
              <w:rPr>
                <w:rFonts w:ascii="Times New Roman" w:hAnsi="Times New Roman" w:cs="Times New Roman"/>
                <w:sz w:val="24"/>
                <w:szCs w:val="24"/>
              </w:rPr>
              <w:t>Ріг</w:t>
            </w:r>
            <w:proofErr w:type="spellEnd"/>
            <w:r w:rsidRPr="000549E6">
              <w:rPr>
                <w:rFonts w:ascii="Times New Roman" w:hAnsi="Times New Roman" w:cs="Times New Roman"/>
                <w:sz w:val="24"/>
                <w:szCs w:val="24"/>
              </w:rPr>
              <w:t xml:space="preserve"> пл. </w:t>
            </w:r>
            <w:proofErr w:type="spellStart"/>
            <w:r w:rsidRPr="000549E6">
              <w:rPr>
                <w:rFonts w:ascii="Times New Roman" w:hAnsi="Times New Roman" w:cs="Times New Roman"/>
                <w:sz w:val="24"/>
                <w:szCs w:val="24"/>
              </w:rPr>
              <w:t>Молодіжна</w:t>
            </w:r>
            <w:proofErr w:type="spellEnd"/>
            <w:r w:rsidRPr="000549E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0549E6" w:rsidRPr="000549E6" w:rsidRDefault="000549E6" w:rsidP="001D0EAE">
            <w:pPr>
              <w:spacing w:after="0" w:line="24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val="uk-UA"/>
              </w:rPr>
            </w:pPr>
            <w:r w:rsidRPr="000549E6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0549E6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UA</w:t>
            </w:r>
          </w:p>
          <w:p w:rsidR="000549E6" w:rsidRPr="000549E6" w:rsidRDefault="000549E6" w:rsidP="001D0E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9E6">
              <w:rPr>
                <w:rFonts w:ascii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 w:rsidRPr="000549E6">
              <w:rPr>
                <w:rFonts w:ascii="Times New Roman" w:hAnsi="Times New Roman" w:cs="Times New Roman"/>
                <w:sz w:val="24"/>
                <w:szCs w:val="24"/>
              </w:rPr>
              <w:t xml:space="preserve"> служба </w:t>
            </w:r>
            <w:proofErr w:type="spellStart"/>
            <w:r w:rsidRPr="000549E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  <w:p w:rsidR="000549E6" w:rsidRPr="000549E6" w:rsidRDefault="000549E6" w:rsidP="001D0EA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E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549E6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</w:p>
          <w:p w:rsidR="000549E6" w:rsidRPr="000549E6" w:rsidRDefault="000549E6" w:rsidP="001D0EA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E6">
              <w:rPr>
                <w:rFonts w:ascii="Times New Roman" w:hAnsi="Times New Roman" w:cs="Times New Roman"/>
                <w:sz w:val="24"/>
                <w:szCs w:val="24"/>
              </w:rPr>
              <w:t>МФО 820172</w:t>
            </w:r>
          </w:p>
          <w:p w:rsidR="000549E6" w:rsidRPr="000549E6" w:rsidRDefault="000549E6" w:rsidP="001D0EA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9E6">
              <w:rPr>
                <w:rFonts w:ascii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0549E6" w:rsidRPr="000549E6" w:rsidRDefault="000549E6" w:rsidP="001D0EAE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9E6">
              <w:rPr>
                <w:rFonts w:ascii="Times New Roman" w:hAnsi="Times New Roman" w:cs="Times New Roman"/>
                <w:sz w:val="24"/>
                <w:szCs w:val="24"/>
              </w:rPr>
              <w:t>Телефон: (0564) 9</w:t>
            </w:r>
            <w:r w:rsidRPr="0005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5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05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  <w:p w:rsidR="00BD5753" w:rsidRPr="007B3003" w:rsidRDefault="00BD5753" w:rsidP="00BD57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30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3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mvk</w:t>
            </w:r>
            <w:proofErr w:type="spellEnd"/>
            <w:r w:rsidRPr="007B3003">
              <w:rPr>
                <w:rFonts w:ascii="Times New Roman" w:eastAsia="Times New Roman" w:hAnsi="Times New Roman" w:cs="Times New Roman"/>
                <w:sz w:val="24"/>
                <w:szCs w:val="24"/>
              </w:rPr>
              <w:t>99@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</w:t>
            </w:r>
            <w:proofErr w:type="spellEnd"/>
            <w:r w:rsidRPr="007B30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7B30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0549E6" w:rsidRPr="007B3003" w:rsidRDefault="000549E6" w:rsidP="004B123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9E6" w:rsidRPr="000549E6" w:rsidRDefault="000549E6" w:rsidP="004B123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9E6" w:rsidRPr="000549E6" w:rsidRDefault="000549E6" w:rsidP="004B123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9E6" w:rsidRPr="000549E6" w:rsidRDefault="00BD5753" w:rsidP="004B123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</w:tc>
      </w:tr>
    </w:tbl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2C6F5B" w:rsidRDefault="002C6F5B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AD573D" w:rsidRDefault="00AD573D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AD573D" w:rsidRDefault="00AD573D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AD573D" w:rsidRDefault="00AD573D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AD573D" w:rsidRDefault="00AD573D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AD573D" w:rsidRDefault="00AD573D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2C6F5B" w:rsidRPr="008E1CE5" w:rsidRDefault="002C6F5B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9C60FC">
      <w:pPr>
        <w:tabs>
          <w:tab w:val="left" w:pos="8789"/>
          <w:tab w:val="left" w:pos="9214"/>
        </w:tabs>
        <w:spacing w:after="0" w:line="240" w:lineRule="auto"/>
        <w:ind w:right="28" w:firstLine="567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Додаток №1</w:t>
      </w:r>
    </w:p>
    <w:p w:rsidR="009C60FC" w:rsidRPr="008E1CE5" w:rsidRDefault="009C60FC" w:rsidP="009C60FC">
      <w:pPr>
        <w:tabs>
          <w:tab w:val="left" w:pos="8789"/>
          <w:tab w:val="left" w:pos="9214"/>
        </w:tabs>
        <w:spacing w:after="0" w:line="240" w:lineRule="auto"/>
        <w:ind w:right="28" w:firstLine="567"/>
        <w:jc w:val="right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 Договору №_____</w:t>
      </w:r>
    </w:p>
    <w:p w:rsidR="009C60FC" w:rsidRPr="008E1CE5" w:rsidRDefault="009C60FC" w:rsidP="009C60FC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                                                                                                           від _______ 2024 р.</w:t>
      </w:r>
    </w:p>
    <w:p w:rsidR="009C60FC" w:rsidRDefault="009C60FC" w:rsidP="009C60FC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2C6F5B" w:rsidRPr="008E1CE5" w:rsidRDefault="002C6F5B" w:rsidP="009C60FC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2C6F5B" w:rsidRDefault="002C6F5B" w:rsidP="009C60FC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</w:pPr>
      <w:r w:rsidRPr="002C6F5B"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  <w:t>Калькуляція</w:t>
      </w:r>
    </w:p>
    <w:p w:rsidR="00B43E42" w:rsidRPr="008E1CE5" w:rsidRDefault="00B43E42" w:rsidP="009C60FC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08188E" w:rsidP="0008188E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ДК 021:2015: 48730000-4 Пакети програмного забезпечення для забезпечення безпеки (Система безпечної автентифікації </w:t>
      </w:r>
      <w:hyperlink r:id="rId8" w:history="1">
        <w:proofErr w:type="spellStart"/>
        <w:r w:rsidRPr="008E1CE5">
          <w:rPr>
            <w:rFonts w:ascii="Times New Roman" w:hAnsi="Times New Roman" w:cs="Times New Roman"/>
            <w:color w:val="171717"/>
            <w:sz w:val="24"/>
            <w:szCs w:val="24"/>
            <w:lang w:val="uk-UA"/>
          </w:rPr>
          <w:t>FortiAuthenticator</w:t>
        </w:r>
        <w:proofErr w:type="spellEnd"/>
      </w:hyperlink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з необхідним набором ліцензій та  сервісною технічною підтримкою)</w:t>
      </w:r>
    </w:p>
    <w:p w:rsidR="0008188E" w:rsidRPr="008E1CE5" w:rsidRDefault="0008188E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08188E" w:rsidRPr="008E1CE5" w:rsidRDefault="0008188E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3"/>
        <w:gridCol w:w="4561"/>
        <w:gridCol w:w="1205"/>
        <w:gridCol w:w="2828"/>
      </w:tblGrid>
      <w:tr w:rsidR="00BE1A35" w:rsidRPr="008E1CE5" w:rsidTr="00BE1A35">
        <w:tc>
          <w:tcPr>
            <w:tcW w:w="473" w:type="dxa"/>
          </w:tcPr>
          <w:p w:rsidR="00BE1A35" w:rsidRPr="008E1CE5" w:rsidRDefault="00BE1A35" w:rsidP="00307AB8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 w:rsidRPr="008E1CE5"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№</w:t>
            </w:r>
          </w:p>
        </w:tc>
        <w:tc>
          <w:tcPr>
            <w:tcW w:w="4561" w:type="dxa"/>
          </w:tcPr>
          <w:p w:rsidR="00BE1A35" w:rsidRPr="008E1CE5" w:rsidRDefault="00BE1A35" w:rsidP="0023036C">
            <w:pPr>
              <w:tabs>
                <w:tab w:val="left" w:pos="8789"/>
                <w:tab w:val="left" w:pos="9214"/>
              </w:tabs>
              <w:ind w:right="28"/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 w:rsidRPr="008E1CE5"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05" w:type="dxa"/>
          </w:tcPr>
          <w:p w:rsidR="00BE1A35" w:rsidRDefault="00BE1A35" w:rsidP="0023036C">
            <w:pPr>
              <w:tabs>
                <w:tab w:val="left" w:pos="8789"/>
                <w:tab w:val="left" w:pos="9214"/>
              </w:tabs>
              <w:ind w:right="28"/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 w:rsidRPr="008E1CE5"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Кількість</w:t>
            </w:r>
          </w:p>
          <w:p w:rsidR="00BE1A35" w:rsidRPr="008E1CE5" w:rsidRDefault="00BE1A35" w:rsidP="0023036C">
            <w:pPr>
              <w:tabs>
                <w:tab w:val="left" w:pos="8789"/>
                <w:tab w:val="left" w:pos="9214"/>
              </w:tabs>
              <w:ind w:right="28"/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 xml:space="preserve">послуг </w:t>
            </w:r>
          </w:p>
        </w:tc>
        <w:tc>
          <w:tcPr>
            <w:tcW w:w="2828" w:type="dxa"/>
          </w:tcPr>
          <w:p w:rsidR="00BE1A35" w:rsidRPr="008E1CE5" w:rsidRDefault="00BE1A35" w:rsidP="0023036C">
            <w:pPr>
              <w:tabs>
                <w:tab w:val="left" w:pos="8789"/>
                <w:tab w:val="left" w:pos="9214"/>
              </w:tabs>
              <w:ind w:right="28"/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 w:rsidRPr="008E1CE5"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Ціна, грн, з/без ПДВ</w:t>
            </w:r>
          </w:p>
        </w:tc>
      </w:tr>
      <w:tr w:rsidR="00BE1A35" w:rsidRPr="008E1CE5" w:rsidTr="00BE1A35">
        <w:tc>
          <w:tcPr>
            <w:tcW w:w="473" w:type="dxa"/>
          </w:tcPr>
          <w:p w:rsidR="00BE1A35" w:rsidRPr="008E1CE5" w:rsidRDefault="00BE1A35" w:rsidP="00307AB8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</w:p>
          <w:p w:rsidR="00BE1A35" w:rsidRPr="008E1CE5" w:rsidRDefault="00BE1A35" w:rsidP="00307AB8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</w:p>
          <w:p w:rsidR="00BE1A35" w:rsidRPr="008E1CE5" w:rsidRDefault="00BE1A35" w:rsidP="00307AB8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 w:rsidRPr="008E1CE5"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1</w:t>
            </w:r>
          </w:p>
        </w:tc>
        <w:tc>
          <w:tcPr>
            <w:tcW w:w="4561" w:type="dxa"/>
          </w:tcPr>
          <w:p w:rsidR="00BE1A35" w:rsidRPr="008E1CE5" w:rsidRDefault="00BE1A35" w:rsidP="00767FE6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 w:rsidRPr="008E1CE5"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Система безпечної автентифікації</w:t>
            </w:r>
            <w:r w:rsidR="00767FE6"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 xml:space="preserve"> </w:t>
            </w:r>
            <w:r w:rsidRPr="008E1CE5"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 xml:space="preserve"> </w:t>
            </w:r>
            <w:hyperlink r:id="rId9" w:history="1">
              <w:proofErr w:type="spellStart"/>
              <w:r w:rsidRPr="008E1CE5">
                <w:rPr>
                  <w:rFonts w:ascii="Times New Roman" w:hAnsi="Times New Roman" w:cs="Times New Roman"/>
                  <w:color w:val="171717"/>
                  <w:sz w:val="24"/>
                  <w:szCs w:val="24"/>
                  <w:lang w:val="uk-UA"/>
                </w:rPr>
                <w:t>FortiAuthenticator</w:t>
              </w:r>
              <w:proofErr w:type="spellEnd"/>
            </w:hyperlink>
            <w:r w:rsidRPr="008E1CE5"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 xml:space="preserve"> з необхідним набором ліцензій та  сервісною технічною підтримкою</w:t>
            </w:r>
            <w:r w:rsidR="00767FE6"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 xml:space="preserve"> (на 500 користувачів)</w:t>
            </w:r>
          </w:p>
        </w:tc>
        <w:tc>
          <w:tcPr>
            <w:tcW w:w="1205" w:type="dxa"/>
          </w:tcPr>
          <w:p w:rsidR="00BE1A35" w:rsidRPr="008E1CE5" w:rsidRDefault="00BE1A35" w:rsidP="00307AB8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</w:p>
          <w:p w:rsidR="00BE1A35" w:rsidRPr="008E1CE5" w:rsidRDefault="00BE1A35" w:rsidP="0023036C">
            <w:pPr>
              <w:tabs>
                <w:tab w:val="left" w:pos="8789"/>
                <w:tab w:val="left" w:pos="9214"/>
              </w:tabs>
              <w:ind w:right="28"/>
              <w:jc w:val="center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 w:rsidRPr="008E1CE5"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1</w:t>
            </w:r>
          </w:p>
        </w:tc>
        <w:tc>
          <w:tcPr>
            <w:tcW w:w="2828" w:type="dxa"/>
          </w:tcPr>
          <w:p w:rsidR="00BE1A35" w:rsidRPr="008E1CE5" w:rsidRDefault="00BE1A35" w:rsidP="00307AB8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</w:p>
        </w:tc>
      </w:tr>
      <w:tr w:rsidR="001F062F" w:rsidRPr="008E1CE5" w:rsidTr="00BE1A35">
        <w:tc>
          <w:tcPr>
            <w:tcW w:w="6239" w:type="dxa"/>
            <w:gridSpan w:val="3"/>
          </w:tcPr>
          <w:p w:rsidR="001F062F" w:rsidRPr="008E1CE5" w:rsidRDefault="001F062F" w:rsidP="001F062F">
            <w:pPr>
              <w:tabs>
                <w:tab w:val="left" w:pos="8789"/>
                <w:tab w:val="left" w:pos="9214"/>
              </w:tabs>
              <w:ind w:right="28"/>
              <w:jc w:val="right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  <w:r w:rsidRPr="008E1CE5"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  <w:t>Всього, з/без ПДВ</w:t>
            </w:r>
          </w:p>
        </w:tc>
        <w:tc>
          <w:tcPr>
            <w:tcW w:w="2828" w:type="dxa"/>
          </w:tcPr>
          <w:p w:rsidR="001F062F" w:rsidRPr="008E1CE5" w:rsidRDefault="001F062F" w:rsidP="00307AB8">
            <w:pPr>
              <w:tabs>
                <w:tab w:val="left" w:pos="8789"/>
                <w:tab w:val="left" w:pos="9214"/>
              </w:tabs>
              <w:ind w:right="28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  <w:lang w:val="uk-UA"/>
              </w:rPr>
            </w:pPr>
          </w:p>
        </w:tc>
      </w:tr>
    </w:tbl>
    <w:p w:rsidR="0057336F" w:rsidRPr="008E1CE5" w:rsidRDefault="0057336F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217F9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Всього: _______ (</w:t>
      </w:r>
      <w:r w:rsidRPr="008E1CE5">
        <w:rPr>
          <w:rFonts w:ascii="Times New Roman" w:hAnsi="Times New Roman" w:cs="Times New Roman"/>
          <w:i/>
          <w:color w:val="171717"/>
          <w:sz w:val="24"/>
          <w:szCs w:val="24"/>
          <w:lang w:val="uk-UA"/>
        </w:rPr>
        <w:t>сума прописом</w:t>
      </w: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) з/без ПДВ</w:t>
      </w:r>
    </w:p>
    <w:p w:rsidR="00457692" w:rsidRPr="008E1CE5" w:rsidRDefault="00457692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8"/>
          <w:szCs w:val="24"/>
          <w:lang w:val="uk-UA"/>
        </w:rPr>
      </w:pPr>
    </w:p>
    <w:p w:rsidR="00457692" w:rsidRPr="008E1CE5" w:rsidRDefault="009217F9" w:rsidP="009217F9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8E1CE5">
        <w:rPr>
          <w:rFonts w:ascii="Times New Roman" w:hAnsi="Times New Roman" w:cs="Times New Roman"/>
          <w:b/>
          <w:sz w:val="24"/>
          <w:lang w:val="uk-UA"/>
        </w:rPr>
        <w:t>Термін поставки програмного забезпечення</w:t>
      </w:r>
      <w:r w:rsidRPr="008E1CE5">
        <w:rPr>
          <w:rFonts w:ascii="Times New Roman" w:hAnsi="Times New Roman" w:cs="Times New Roman"/>
          <w:sz w:val="24"/>
          <w:lang w:val="uk-UA"/>
        </w:rPr>
        <w:t>: протягом 15 (п’ятнадцяти) календарних днів з моменту отримання Постачальником Повідомлення від Покупця про го</w:t>
      </w:r>
      <w:r w:rsidR="00457692" w:rsidRPr="008E1CE5">
        <w:rPr>
          <w:rFonts w:ascii="Times New Roman" w:hAnsi="Times New Roman" w:cs="Times New Roman"/>
          <w:sz w:val="24"/>
          <w:lang w:val="uk-UA"/>
        </w:rPr>
        <w:t>товність до виконання Договору.</w:t>
      </w:r>
    </w:p>
    <w:p w:rsidR="00724A10" w:rsidRPr="008E1CE5" w:rsidRDefault="009217F9" w:rsidP="009217F9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8E1CE5">
        <w:rPr>
          <w:rFonts w:ascii="Times New Roman" w:hAnsi="Times New Roman" w:cs="Times New Roman"/>
          <w:b/>
          <w:sz w:val="24"/>
          <w:lang w:val="uk-UA"/>
        </w:rPr>
        <w:t xml:space="preserve"> Термін дії технічної підтримки від Постачальника програмного забезпечення</w:t>
      </w:r>
      <w:r w:rsidR="00AD573D">
        <w:rPr>
          <w:rFonts w:ascii="Times New Roman" w:hAnsi="Times New Roman" w:cs="Times New Roman"/>
          <w:sz w:val="24"/>
          <w:lang w:val="uk-UA"/>
        </w:rPr>
        <w:t xml:space="preserve"> (згідно п. 2.6</w:t>
      </w:r>
      <w:r w:rsidR="00724A10" w:rsidRPr="008E1CE5">
        <w:rPr>
          <w:rFonts w:ascii="Times New Roman" w:hAnsi="Times New Roman" w:cs="Times New Roman"/>
          <w:sz w:val="24"/>
          <w:lang w:val="uk-UA"/>
        </w:rPr>
        <w:t>. Договору): 36 (тридцять шість) місяців</w:t>
      </w:r>
      <w:r w:rsidRPr="008E1CE5">
        <w:rPr>
          <w:rFonts w:ascii="Times New Roman" w:hAnsi="Times New Roman" w:cs="Times New Roman"/>
          <w:sz w:val="24"/>
          <w:lang w:val="uk-UA"/>
        </w:rPr>
        <w:t>.</w:t>
      </w:r>
    </w:p>
    <w:p w:rsidR="0076735E" w:rsidRPr="008E1CE5" w:rsidRDefault="009217F9" w:rsidP="009217F9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8E1CE5">
        <w:rPr>
          <w:rFonts w:ascii="Times New Roman" w:hAnsi="Times New Roman" w:cs="Times New Roman"/>
          <w:sz w:val="24"/>
          <w:lang w:val="uk-UA"/>
        </w:rPr>
        <w:t xml:space="preserve"> </w:t>
      </w:r>
      <w:r w:rsidRPr="008E1CE5">
        <w:rPr>
          <w:rFonts w:ascii="Times New Roman" w:hAnsi="Times New Roman" w:cs="Times New Roman"/>
          <w:b/>
          <w:sz w:val="24"/>
          <w:lang w:val="uk-UA"/>
        </w:rPr>
        <w:t>Термін дії технічної підтримки від Виробника програмного забезпечення</w:t>
      </w:r>
      <w:r w:rsidR="00AD573D">
        <w:rPr>
          <w:rFonts w:ascii="Times New Roman" w:hAnsi="Times New Roman" w:cs="Times New Roman"/>
          <w:sz w:val="24"/>
          <w:lang w:val="uk-UA"/>
        </w:rPr>
        <w:t xml:space="preserve"> (згідно п. 2.8</w:t>
      </w:r>
      <w:r w:rsidR="0076735E" w:rsidRPr="008E1CE5">
        <w:rPr>
          <w:rFonts w:ascii="Times New Roman" w:hAnsi="Times New Roman" w:cs="Times New Roman"/>
          <w:sz w:val="24"/>
          <w:lang w:val="uk-UA"/>
        </w:rPr>
        <w:t>. Договору): 36 (тридцять шість) місяців</w:t>
      </w:r>
      <w:r w:rsidRPr="008E1CE5">
        <w:rPr>
          <w:rFonts w:ascii="Times New Roman" w:hAnsi="Times New Roman" w:cs="Times New Roman"/>
          <w:sz w:val="24"/>
          <w:lang w:val="uk-UA"/>
        </w:rPr>
        <w:t>.</w:t>
      </w:r>
    </w:p>
    <w:p w:rsidR="009C60FC" w:rsidRPr="008E1CE5" w:rsidRDefault="009217F9" w:rsidP="009217F9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8"/>
          <w:szCs w:val="24"/>
          <w:lang w:val="uk-UA"/>
        </w:rPr>
      </w:pPr>
      <w:r w:rsidRPr="008E1CE5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8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B43E42" w:rsidRDefault="00B43E42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</w:pPr>
      <w:r w:rsidRPr="00B43E42"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  <w:t>Покупець:</w:t>
      </w:r>
      <w:r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  <w:t xml:space="preserve">                                                                  Постачальник:</w:t>
      </w:r>
    </w:p>
    <w:p w:rsidR="00B43E42" w:rsidRDefault="00B43E42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B43E42" w:rsidRDefault="00B43E42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B43E42" w:rsidRPr="008E1CE5" w:rsidRDefault="00B43E42" w:rsidP="00B43E42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__________/____________                                       __________/____________</w:t>
      </w:r>
    </w:p>
    <w:p w:rsidR="00B43E42" w:rsidRPr="008E1CE5" w:rsidRDefault="00B43E42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9C60FC" w:rsidRPr="008E1CE5" w:rsidRDefault="009C60FC" w:rsidP="00307AB8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57336F" w:rsidRPr="008E1CE5" w:rsidRDefault="0057336F" w:rsidP="0057336F">
      <w:pPr>
        <w:tabs>
          <w:tab w:val="left" w:pos="8789"/>
          <w:tab w:val="left" w:pos="9214"/>
        </w:tabs>
        <w:spacing w:after="0" w:line="240" w:lineRule="auto"/>
        <w:ind w:right="28" w:firstLine="567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Додаток №2</w:t>
      </w:r>
    </w:p>
    <w:p w:rsidR="0057336F" w:rsidRPr="008E1CE5" w:rsidRDefault="0057336F" w:rsidP="0057336F">
      <w:pPr>
        <w:tabs>
          <w:tab w:val="left" w:pos="8789"/>
          <w:tab w:val="left" w:pos="9214"/>
        </w:tabs>
        <w:spacing w:after="0" w:line="240" w:lineRule="auto"/>
        <w:ind w:right="28" w:firstLine="567"/>
        <w:jc w:val="right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>до Договору №_____</w:t>
      </w:r>
    </w:p>
    <w:p w:rsidR="0057336F" w:rsidRPr="008E1CE5" w:rsidRDefault="0057336F" w:rsidP="0057336F">
      <w:pPr>
        <w:tabs>
          <w:tab w:val="left" w:pos="8789"/>
          <w:tab w:val="left" w:pos="9214"/>
        </w:tabs>
        <w:spacing w:after="0" w:line="240" w:lineRule="auto"/>
        <w:ind w:right="28" w:firstLine="567"/>
        <w:jc w:val="center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 w:rsidRPr="008E1CE5">
        <w:rPr>
          <w:rFonts w:ascii="Times New Roman" w:hAnsi="Times New Roman" w:cs="Times New Roman"/>
          <w:color w:val="171717"/>
          <w:sz w:val="24"/>
          <w:szCs w:val="24"/>
          <w:lang w:val="uk-UA"/>
        </w:rPr>
        <w:t xml:space="preserve">                                                                                                                від _______ 2024 р.</w:t>
      </w:r>
    </w:p>
    <w:p w:rsidR="008E1CE5" w:rsidRDefault="008E1CE5" w:rsidP="00466920">
      <w:pPr>
        <w:spacing w:after="0" w:line="240" w:lineRule="auto"/>
        <w:jc w:val="both"/>
        <w:rPr>
          <w:b/>
          <w:lang w:val="uk-UA"/>
        </w:rPr>
      </w:pPr>
    </w:p>
    <w:p w:rsidR="00466920" w:rsidRDefault="00466920" w:rsidP="00466920">
      <w:pPr>
        <w:spacing w:after="0" w:line="240" w:lineRule="auto"/>
        <w:jc w:val="both"/>
        <w:rPr>
          <w:b/>
          <w:lang w:val="uk-UA"/>
        </w:rPr>
      </w:pPr>
    </w:p>
    <w:p w:rsidR="008E1CE5" w:rsidRPr="008E1CE5" w:rsidRDefault="008E1CE5" w:rsidP="008E1CE5">
      <w:pPr>
        <w:jc w:val="center"/>
        <w:rPr>
          <w:rFonts w:ascii="Times New Roman" w:hAnsi="Times New Roman" w:cs="Times New Roman"/>
          <w:b/>
          <w:lang w:val="uk-UA"/>
        </w:rPr>
      </w:pPr>
      <w:r w:rsidRPr="008E1CE5">
        <w:rPr>
          <w:rFonts w:ascii="Times New Roman" w:hAnsi="Times New Roman" w:cs="Times New Roman"/>
          <w:b/>
          <w:lang w:val="uk-UA"/>
        </w:rPr>
        <w:t>ІНФОРМАЦІЯ ПРО НЕОБХІДНІ ТЕХНІЧНІ, ЯКІСНІ ТА КІЛЬКІСНІ</w:t>
      </w:r>
    </w:p>
    <w:p w:rsidR="008E1CE5" w:rsidRPr="008E1CE5" w:rsidRDefault="008E1CE5" w:rsidP="008E1CE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uk-UA" w:eastAsia="zh-CN"/>
        </w:rPr>
      </w:pPr>
      <w:r w:rsidRPr="008E1CE5">
        <w:rPr>
          <w:rFonts w:ascii="Times New Roman" w:hAnsi="Times New Roman" w:cs="Times New Roman"/>
          <w:b/>
          <w:lang w:val="uk-UA"/>
        </w:rPr>
        <w:t>ХАРАКТЕРИСТИКИ ПРЕДМЕТА ЗАКУПІВЛІ (ТЕХНІЧНІ ВИМОГИ)</w:t>
      </w:r>
    </w:p>
    <w:p w:rsidR="008E1CE5" w:rsidRPr="008E1CE5" w:rsidRDefault="008E1CE5" w:rsidP="008E1CE5">
      <w:pPr>
        <w:pStyle w:val="a9"/>
        <w:ind w:left="0" w:right="-23" w:firstLine="0"/>
        <w:rPr>
          <w:sz w:val="26"/>
          <w:szCs w:val="26"/>
        </w:rPr>
      </w:pPr>
    </w:p>
    <w:p w:rsidR="008E1CE5" w:rsidRPr="008E1CE5" w:rsidRDefault="008E1CE5" w:rsidP="008E1CE5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E1CE5">
        <w:rPr>
          <w:rFonts w:ascii="Times New Roman" w:hAnsi="Times New Roman"/>
          <w:sz w:val="24"/>
          <w:szCs w:val="24"/>
        </w:rPr>
        <w:t>1. Вимоги до системи безпечної автентифікації</w:t>
      </w:r>
    </w:p>
    <w:p w:rsidR="008E1CE5" w:rsidRPr="008E1CE5" w:rsidRDefault="008E1CE5" w:rsidP="008E1CE5">
      <w:pPr>
        <w:rPr>
          <w:rFonts w:ascii="Times New Roman" w:hAnsi="Times New Roman" w:cs="Times New Roman"/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0"/>
        <w:gridCol w:w="2538"/>
      </w:tblGrid>
      <w:tr w:rsidR="008E1CE5" w:rsidRPr="008E1CE5" w:rsidTr="004B1234">
        <w:trPr>
          <w:trHeight w:val="482"/>
        </w:trPr>
        <w:tc>
          <w:tcPr>
            <w:tcW w:w="3682" w:type="pct"/>
            <w:vAlign w:val="center"/>
          </w:tcPr>
          <w:p w:rsidR="008E1CE5" w:rsidRPr="008E1CE5" w:rsidRDefault="008E1CE5" w:rsidP="004B1234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та опис</w:t>
            </w:r>
          </w:p>
        </w:tc>
        <w:tc>
          <w:tcPr>
            <w:tcW w:w="1318" w:type="pct"/>
            <w:vAlign w:val="center"/>
          </w:tcPr>
          <w:p w:rsidR="008E1CE5" w:rsidRPr="008E1CE5" w:rsidRDefault="00472034" w:rsidP="004B1234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Кількість </w:t>
            </w:r>
          </w:p>
        </w:tc>
      </w:tr>
      <w:tr w:rsidR="008E1CE5" w:rsidRPr="008E1CE5" w:rsidTr="004B1234">
        <w:trPr>
          <w:trHeight w:val="597"/>
        </w:trPr>
        <w:tc>
          <w:tcPr>
            <w:tcW w:w="3682" w:type="pct"/>
            <w:vAlign w:val="center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Система безпечної автентифікації (на 500 користувачів) з необхідним набором ліцензій та  сервісною технічною підтримкою (24*7, 36 місяців). </w:t>
            </w:r>
          </w:p>
        </w:tc>
        <w:tc>
          <w:tcPr>
            <w:tcW w:w="1318" w:type="pct"/>
            <w:vAlign w:val="center"/>
          </w:tcPr>
          <w:p w:rsidR="008E1CE5" w:rsidRPr="008E1CE5" w:rsidRDefault="008E1CE5" w:rsidP="004B1234">
            <w:pPr>
              <w:suppressLineNumber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</w:tr>
    </w:tbl>
    <w:p w:rsidR="008E1CE5" w:rsidRPr="008E1CE5" w:rsidRDefault="008E1CE5" w:rsidP="008E1CE5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7053"/>
      </w:tblGrid>
      <w:tr w:rsidR="008E1CE5" w:rsidRPr="008E1CE5" w:rsidTr="004B1234">
        <w:trPr>
          <w:trHeight w:val="461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br w:type="page"/>
              <w:t>Найменування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472034" w:rsidP="004B1234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Вимоги </w:t>
            </w:r>
          </w:p>
        </w:tc>
      </w:tr>
      <w:tr w:rsidR="008E1CE5" w:rsidRPr="001F0CA6" w:rsidTr="004B1234">
        <w:trPr>
          <w:trHeight w:val="461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keepNext/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Загальні вимоги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Якщо відповідно до функціональності пристроїв/систем або згідно архітектурного підходу реалізація технічних вимог потребує додаткових пристроїв/систем або ліцензій, то все це має бути закладено в комплект поставки з урахуванням вимог до строку та функціональності технічної підтримки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 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На обладнання не має бути анонсів </w:t>
            </w:r>
            <w:proofErr w:type="spellStart"/>
            <w:r w:rsidRPr="008E1CE5">
              <w:rPr>
                <w:sz w:val="20"/>
                <w:szCs w:val="20"/>
              </w:rPr>
              <w:t>end-of-sale</w:t>
            </w:r>
            <w:proofErr w:type="spellEnd"/>
            <w:r w:rsidRPr="008E1CE5">
              <w:rPr>
                <w:sz w:val="20"/>
                <w:szCs w:val="20"/>
              </w:rPr>
              <w:t xml:space="preserve"> та </w:t>
            </w:r>
            <w:proofErr w:type="spellStart"/>
            <w:r w:rsidRPr="008E1CE5">
              <w:rPr>
                <w:sz w:val="20"/>
                <w:szCs w:val="20"/>
              </w:rPr>
              <w:t>end-of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life</w:t>
            </w:r>
            <w:proofErr w:type="spellEnd"/>
            <w:r w:rsidRPr="008E1CE5">
              <w:rPr>
                <w:sz w:val="20"/>
                <w:szCs w:val="20"/>
              </w:rPr>
              <w:t xml:space="preserve"> (EOS/EOL) від виробника</w:t>
            </w:r>
          </w:p>
        </w:tc>
      </w:tr>
      <w:tr w:rsidR="008E1CE5" w:rsidRPr="008E1CE5" w:rsidTr="004B1234">
        <w:trPr>
          <w:trHeight w:val="535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Архітектура та форм-фактор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Система має бути у вигляді </w:t>
            </w:r>
            <w:proofErr w:type="spellStart"/>
            <w:r w:rsidRPr="008E1CE5">
              <w:rPr>
                <w:sz w:val="20"/>
                <w:szCs w:val="20"/>
              </w:rPr>
              <w:t>віртуалізованого</w:t>
            </w:r>
            <w:proofErr w:type="spellEnd"/>
            <w:r w:rsidRPr="008E1CE5">
              <w:rPr>
                <w:sz w:val="20"/>
                <w:szCs w:val="20"/>
              </w:rPr>
              <w:t xml:space="preserve"> рішення (</w:t>
            </w:r>
            <w:proofErr w:type="spellStart"/>
            <w:r w:rsidRPr="008E1CE5">
              <w:rPr>
                <w:sz w:val="20"/>
                <w:szCs w:val="20"/>
              </w:rPr>
              <w:t>VMWare</w:t>
            </w:r>
            <w:proofErr w:type="spellEnd"/>
            <w:r w:rsidRPr="008E1CE5">
              <w:rPr>
                <w:sz w:val="20"/>
                <w:szCs w:val="20"/>
              </w:rPr>
              <w:t>/</w:t>
            </w:r>
            <w:proofErr w:type="spellStart"/>
            <w:r w:rsidRPr="008E1CE5">
              <w:rPr>
                <w:sz w:val="20"/>
                <w:szCs w:val="20"/>
              </w:rPr>
              <w:t>Hyper</w:t>
            </w:r>
            <w:proofErr w:type="spellEnd"/>
            <w:r w:rsidRPr="008E1CE5">
              <w:rPr>
                <w:sz w:val="20"/>
                <w:szCs w:val="20"/>
              </w:rPr>
              <w:t>-V/KVM) та розміщена на сайті замовника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У комплекті поставки мають бути всі необхідні апаратні ресурси (сервера, тощо) та ліцензії (віртуалізації, ОС, тощо) для повнофункціональної роботи системи 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Якщо таких систем або елементів системи, для виконання вимог ТЗ, повинно бути декілька, вони усі мають бути у комплекті поставки рішення</w:t>
            </w:r>
          </w:p>
        </w:tc>
      </w:tr>
      <w:tr w:rsidR="008E1CE5" w:rsidRPr="008E1CE5" w:rsidTr="004B1234">
        <w:trPr>
          <w:trHeight w:val="535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Ліцензування 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Ліцензії, не включаючи технічну підтримку, мають бути безстроковими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Ліцензії мають забезпечувати повнофункціональну роботу системи для не менше чим 500 користувачів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Ліцензії не мають обмежувати використання CPU та RAM на віртуальній машині аж до наступних максимальних значень включно: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CPU - 64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RAM - 1 TB</w:t>
            </w:r>
          </w:p>
        </w:tc>
      </w:tr>
      <w:tr w:rsidR="008E1CE5" w:rsidRPr="008E1CE5" w:rsidTr="004B1234">
        <w:trPr>
          <w:trHeight w:val="535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Автентифікація користувачів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Автентифікації користувачів на основі: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Вбудованого серверу RADIUS 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Вбудованого серверу TACACS+ 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Вбудованого серверу LDAP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Вбудованого серверу SAML </w:t>
            </w:r>
            <w:proofErr w:type="spellStart"/>
            <w:r w:rsidRPr="008E1CE5">
              <w:rPr>
                <w:sz w:val="20"/>
                <w:szCs w:val="20"/>
              </w:rPr>
              <w:t>IdP</w:t>
            </w:r>
            <w:proofErr w:type="spellEnd"/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Зовнішнього серверу RADIUS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Зовнішнього серверу TACACS+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Зовнішнього серверу LDAP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Зовнішнього серверу SAML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8E1CE5">
              <w:rPr>
                <w:sz w:val="20"/>
                <w:szCs w:val="20"/>
              </w:rPr>
              <w:t>Single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Sign-On</w:t>
            </w:r>
            <w:proofErr w:type="spellEnd"/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Портал автентифікації</w:t>
            </w:r>
          </w:p>
        </w:tc>
      </w:tr>
      <w:tr w:rsidR="008E1CE5" w:rsidRPr="008E1CE5" w:rsidTr="004B1234">
        <w:trPr>
          <w:trHeight w:val="535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Автентифікація пристроїв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Автентифікація пристроїв на основі IEEE 802.1X EAP методів: EAP-TTLS, EAP-TLS, EAP-GTC, PEAP (MS-CHAPv2)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MAC </w:t>
            </w:r>
            <w:proofErr w:type="spellStart"/>
            <w:r w:rsidRPr="008E1CE5">
              <w:rPr>
                <w:sz w:val="20"/>
                <w:szCs w:val="20"/>
              </w:rPr>
              <w:t>Authentication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Bypass</w:t>
            </w:r>
            <w:proofErr w:type="spellEnd"/>
            <w:r w:rsidRPr="008E1CE5">
              <w:rPr>
                <w:sz w:val="20"/>
                <w:szCs w:val="20"/>
              </w:rPr>
              <w:t xml:space="preserve"> (MAB)</w:t>
            </w:r>
          </w:p>
        </w:tc>
      </w:tr>
      <w:tr w:rsidR="008E1CE5" w:rsidRPr="001F0CA6" w:rsidTr="004B1234">
        <w:trPr>
          <w:trHeight w:val="535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Управління сертифікатами X.509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Виконання ролі локального (</w:t>
            </w:r>
            <w:proofErr w:type="spellStart"/>
            <w:r w:rsidRPr="008E1CE5">
              <w:rPr>
                <w:sz w:val="20"/>
                <w:szCs w:val="20"/>
              </w:rPr>
              <w:t>self-signed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root</w:t>
            </w:r>
            <w:proofErr w:type="spellEnd"/>
            <w:r w:rsidRPr="008E1CE5">
              <w:rPr>
                <w:sz w:val="20"/>
                <w:szCs w:val="20"/>
              </w:rPr>
              <w:t>) органу сертифікації (CA) для створення, підписання, відкликання та розповсюдження цифрових сертифікатів X.509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Підтримка </w:t>
            </w:r>
            <w:proofErr w:type="spellStart"/>
            <w:r w:rsidRPr="008E1CE5">
              <w:rPr>
                <w:sz w:val="20"/>
                <w:szCs w:val="20"/>
              </w:rPr>
              <w:t>Simple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Certificate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Enrolment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Protocol</w:t>
            </w:r>
            <w:proofErr w:type="spellEnd"/>
            <w:r w:rsidRPr="008E1CE5">
              <w:rPr>
                <w:sz w:val="20"/>
                <w:szCs w:val="20"/>
              </w:rPr>
              <w:t xml:space="preserve"> (SCEP) серверу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Підтримка </w:t>
            </w:r>
            <w:proofErr w:type="spellStart"/>
            <w:r w:rsidRPr="008E1CE5">
              <w:rPr>
                <w:sz w:val="20"/>
                <w:szCs w:val="20"/>
              </w:rPr>
              <w:t>Certificate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Management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Protocol</w:t>
            </w:r>
            <w:proofErr w:type="spellEnd"/>
            <w:r w:rsidRPr="008E1CE5">
              <w:rPr>
                <w:sz w:val="20"/>
                <w:szCs w:val="20"/>
              </w:rPr>
              <w:t xml:space="preserve"> v2 (CMP2) серверу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Виконання ролі </w:t>
            </w:r>
            <w:proofErr w:type="spellStart"/>
            <w:r w:rsidRPr="008E1CE5">
              <w:rPr>
                <w:sz w:val="20"/>
                <w:szCs w:val="20"/>
              </w:rPr>
              <w:t>intermediate</w:t>
            </w:r>
            <w:proofErr w:type="spellEnd"/>
            <w:r w:rsidRPr="008E1CE5">
              <w:rPr>
                <w:sz w:val="20"/>
                <w:szCs w:val="20"/>
              </w:rPr>
              <w:t xml:space="preserve"> CA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Імпорт </w:t>
            </w:r>
            <w:proofErr w:type="spellStart"/>
            <w:r w:rsidRPr="008E1CE5">
              <w:rPr>
                <w:sz w:val="20"/>
                <w:szCs w:val="20"/>
              </w:rPr>
              <w:t>trusted</w:t>
            </w:r>
            <w:proofErr w:type="spellEnd"/>
            <w:r w:rsidRPr="008E1CE5">
              <w:rPr>
                <w:sz w:val="20"/>
                <w:szCs w:val="20"/>
              </w:rPr>
              <w:t xml:space="preserve"> CA сертифікатів для перевірки сертифікатів, що підписані зовнішніми CA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Підтримка списків відкликаних сертифікатів (CRL) – локальних та імпортованих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Підтримка </w:t>
            </w:r>
            <w:proofErr w:type="spellStart"/>
            <w:r w:rsidRPr="008E1CE5">
              <w:rPr>
                <w:sz w:val="20"/>
                <w:szCs w:val="20"/>
              </w:rPr>
              <w:t>Online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Certificate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Status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Protocol</w:t>
            </w:r>
            <w:proofErr w:type="spellEnd"/>
            <w:r w:rsidRPr="008E1CE5">
              <w:rPr>
                <w:sz w:val="20"/>
                <w:szCs w:val="20"/>
              </w:rPr>
              <w:t xml:space="preserve"> (OCSP) для визначення статусу відклику сертифікатів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Інтеграція з </w:t>
            </w:r>
            <w:proofErr w:type="spellStart"/>
            <w:r w:rsidRPr="008E1CE5">
              <w:rPr>
                <w:sz w:val="20"/>
                <w:szCs w:val="20"/>
              </w:rPr>
              <w:t>Network</w:t>
            </w:r>
            <w:proofErr w:type="spellEnd"/>
            <w:r w:rsidRPr="008E1CE5">
              <w:rPr>
                <w:sz w:val="20"/>
                <w:szCs w:val="20"/>
              </w:rPr>
              <w:t xml:space="preserve"> HSM для зберігання приватних ключів </w:t>
            </w:r>
            <w:proofErr w:type="spellStart"/>
            <w:r w:rsidRPr="008E1CE5">
              <w:rPr>
                <w:sz w:val="20"/>
                <w:szCs w:val="20"/>
              </w:rPr>
              <w:t>local</w:t>
            </w:r>
            <w:proofErr w:type="spellEnd"/>
            <w:r w:rsidRPr="008E1CE5">
              <w:rPr>
                <w:sz w:val="20"/>
                <w:szCs w:val="20"/>
              </w:rPr>
              <w:t xml:space="preserve"> CA</w:t>
            </w:r>
          </w:p>
        </w:tc>
      </w:tr>
      <w:tr w:rsidR="008E1CE5" w:rsidRPr="008E1CE5" w:rsidTr="004B1234">
        <w:trPr>
          <w:trHeight w:val="694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Двофакторна</w:t>
            </w:r>
            <w:proofErr w:type="spellEnd"/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автентифікація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Централізована система керування носіями </w:t>
            </w:r>
            <w:proofErr w:type="spellStart"/>
            <w:r w:rsidRPr="008E1CE5">
              <w:rPr>
                <w:sz w:val="20"/>
                <w:szCs w:val="20"/>
              </w:rPr>
              <w:t>двофакторної</w:t>
            </w:r>
            <w:proofErr w:type="spellEnd"/>
            <w:r w:rsidRPr="008E1CE5">
              <w:rPr>
                <w:sz w:val="20"/>
                <w:szCs w:val="20"/>
              </w:rPr>
              <w:t xml:space="preserve"> автентифікації (апаратними та програмними)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Сервер </w:t>
            </w:r>
            <w:proofErr w:type="spellStart"/>
            <w:r w:rsidRPr="008E1CE5">
              <w:rPr>
                <w:sz w:val="20"/>
                <w:szCs w:val="20"/>
              </w:rPr>
              <w:t>двофакторної</w:t>
            </w:r>
            <w:proofErr w:type="spellEnd"/>
            <w:r w:rsidRPr="008E1CE5">
              <w:rPr>
                <w:sz w:val="20"/>
                <w:szCs w:val="20"/>
              </w:rPr>
              <w:t xml:space="preserve"> автентифікації з підтримкою: 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Апаратних  </w:t>
            </w:r>
            <w:proofErr w:type="spellStart"/>
            <w:r w:rsidRPr="008E1CE5">
              <w:rPr>
                <w:sz w:val="20"/>
                <w:szCs w:val="20"/>
              </w:rPr>
              <w:t>Time-based</w:t>
            </w:r>
            <w:proofErr w:type="spellEnd"/>
            <w:r w:rsidRPr="008E1CE5">
              <w:rPr>
                <w:sz w:val="20"/>
                <w:szCs w:val="20"/>
              </w:rPr>
              <w:t xml:space="preserve"> (TOTP) </w:t>
            </w:r>
            <w:proofErr w:type="spellStart"/>
            <w:r w:rsidRPr="008E1CE5">
              <w:rPr>
                <w:sz w:val="20"/>
                <w:szCs w:val="20"/>
              </w:rPr>
              <w:t>токенів</w:t>
            </w:r>
            <w:proofErr w:type="spellEnd"/>
            <w:r w:rsidRPr="008E1CE5">
              <w:rPr>
                <w:sz w:val="20"/>
                <w:szCs w:val="20"/>
              </w:rPr>
              <w:t xml:space="preserve"> – RFC </w:t>
            </w:r>
            <w:hyperlink r:id="rId10" w:tgtFrame="_blank" w:history="1">
              <w:r w:rsidRPr="008E1CE5">
                <w:rPr>
                  <w:sz w:val="20"/>
                  <w:szCs w:val="20"/>
                </w:rPr>
                <w:t>6238</w:t>
              </w:r>
            </w:hyperlink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Апаратних HMAC-</w:t>
            </w:r>
            <w:proofErr w:type="spellStart"/>
            <w:r w:rsidRPr="008E1CE5">
              <w:rPr>
                <w:sz w:val="20"/>
                <w:szCs w:val="20"/>
              </w:rPr>
              <w:t>based</w:t>
            </w:r>
            <w:proofErr w:type="spellEnd"/>
            <w:r w:rsidRPr="008E1CE5">
              <w:rPr>
                <w:sz w:val="20"/>
                <w:szCs w:val="20"/>
              </w:rPr>
              <w:t xml:space="preserve"> (HOTP) </w:t>
            </w:r>
            <w:proofErr w:type="spellStart"/>
            <w:r w:rsidRPr="008E1CE5">
              <w:rPr>
                <w:sz w:val="20"/>
                <w:szCs w:val="20"/>
              </w:rPr>
              <w:t>токенів</w:t>
            </w:r>
            <w:proofErr w:type="spellEnd"/>
            <w:r w:rsidRPr="008E1CE5">
              <w:rPr>
                <w:sz w:val="20"/>
                <w:szCs w:val="20"/>
              </w:rPr>
              <w:t xml:space="preserve"> – RFC 4226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Апаратних FIDO2 </w:t>
            </w:r>
            <w:proofErr w:type="spellStart"/>
            <w:r w:rsidRPr="008E1CE5">
              <w:rPr>
                <w:sz w:val="20"/>
                <w:szCs w:val="20"/>
              </w:rPr>
              <w:t>токенів</w:t>
            </w:r>
            <w:proofErr w:type="spellEnd"/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Програмних </w:t>
            </w:r>
            <w:proofErr w:type="spellStart"/>
            <w:r w:rsidRPr="008E1CE5">
              <w:rPr>
                <w:sz w:val="20"/>
                <w:szCs w:val="20"/>
              </w:rPr>
              <w:t>токенів</w:t>
            </w:r>
            <w:proofErr w:type="spellEnd"/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Сертифікатів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8E1CE5">
              <w:rPr>
                <w:sz w:val="20"/>
                <w:szCs w:val="20"/>
              </w:rPr>
              <w:t>Short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Message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Service</w:t>
            </w:r>
            <w:proofErr w:type="spellEnd"/>
            <w:r w:rsidRPr="008E1CE5">
              <w:rPr>
                <w:sz w:val="20"/>
                <w:szCs w:val="20"/>
              </w:rPr>
              <w:t xml:space="preserve"> (SMS)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8E1CE5">
              <w:rPr>
                <w:sz w:val="20"/>
                <w:szCs w:val="20"/>
              </w:rPr>
              <w:t>Email</w:t>
            </w:r>
            <w:proofErr w:type="spellEnd"/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Система повинна підтримувати </w:t>
            </w:r>
            <w:proofErr w:type="spellStart"/>
            <w:r w:rsidRPr="008E1CE5">
              <w:rPr>
                <w:sz w:val="20"/>
                <w:szCs w:val="20"/>
              </w:rPr>
              <w:t>push</w:t>
            </w:r>
            <w:proofErr w:type="spellEnd"/>
            <w:r w:rsidRPr="008E1CE5">
              <w:rPr>
                <w:sz w:val="20"/>
                <w:szCs w:val="20"/>
              </w:rPr>
              <w:t xml:space="preserve">-сповіщення OTP або FTMv4. </w:t>
            </w:r>
            <w:proofErr w:type="spellStart"/>
            <w:r w:rsidRPr="008E1CE5">
              <w:rPr>
                <w:sz w:val="20"/>
                <w:szCs w:val="20"/>
              </w:rPr>
              <w:t>Push</w:t>
            </w:r>
            <w:proofErr w:type="spellEnd"/>
            <w:r w:rsidRPr="008E1CE5">
              <w:rPr>
                <w:sz w:val="20"/>
                <w:szCs w:val="20"/>
              </w:rPr>
              <w:t>-повідомлення має показувати деталі на мобільному пристрої, щоб підтвердити або відхилити одним дотиком</w:t>
            </w:r>
          </w:p>
        </w:tc>
      </w:tr>
      <w:tr w:rsidR="008E1CE5" w:rsidRPr="008E1CE5" w:rsidTr="004B1234">
        <w:trPr>
          <w:trHeight w:val="694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Висока доступність (</w:t>
            </w:r>
            <w:proofErr w:type="spellStart"/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high</w:t>
            </w:r>
            <w:proofErr w:type="spellEnd"/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availability</w:t>
            </w:r>
            <w:proofErr w:type="spellEnd"/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Можливість забезпечення режимів високої доступності :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8E1CE5">
              <w:rPr>
                <w:sz w:val="20"/>
                <w:szCs w:val="20"/>
              </w:rPr>
              <w:t>Active</w:t>
            </w:r>
            <w:proofErr w:type="spellEnd"/>
            <w:r w:rsidRPr="008E1CE5">
              <w:rPr>
                <w:sz w:val="20"/>
                <w:szCs w:val="20"/>
              </w:rPr>
              <w:t xml:space="preserve"> - </w:t>
            </w:r>
            <w:proofErr w:type="spellStart"/>
            <w:r w:rsidRPr="008E1CE5">
              <w:rPr>
                <w:sz w:val="20"/>
                <w:szCs w:val="20"/>
              </w:rPr>
              <w:t>Passive</w:t>
            </w:r>
            <w:proofErr w:type="spellEnd"/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8E1CE5">
              <w:rPr>
                <w:sz w:val="20"/>
                <w:szCs w:val="20"/>
              </w:rPr>
              <w:t>Active</w:t>
            </w:r>
            <w:proofErr w:type="spellEnd"/>
            <w:r w:rsidRPr="008E1CE5">
              <w:rPr>
                <w:sz w:val="20"/>
                <w:szCs w:val="20"/>
              </w:rPr>
              <w:t xml:space="preserve"> - </w:t>
            </w:r>
            <w:proofErr w:type="spellStart"/>
            <w:r w:rsidRPr="008E1CE5">
              <w:rPr>
                <w:sz w:val="20"/>
                <w:szCs w:val="20"/>
              </w:rPr>
              <w:t>Active</w:t>
            </w:r>
            <w:proofErr w:type="spellEnd"/>
          </w:p>
        </w:tc>
      </w:tr>
      <w:tr w:rsidR="008E1CE5" w:rsidRPr="008E1CE5" w:rsidTr="004B1234">
        <w:trPr>
          <w:trHeight w:val="694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Керування, звітність, інтеграція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Графічний веб-інтерфейс (</w:t>
            </w:r>
            <w:proofErr w:type="spellStart"/>
            <w:r w:rsidRPr="008E1CE5">
              <w:rPr>
                <w:sz w:val="20"/>
                <w:szCs w:val="20"/>
              </w:rPr>
              <w:t>Web</w:t>
            </w:r>
            <w:proofErr w:type="spellEnd"/>
            <w:r w:rsidRPr="008E1CE5">
              <w:rPr>
                <w:sz w:val="20"/>
                <w:szCs w:val="20"/>
              </w:rPr>
              <w:t xml:space="preserve"> GUI)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Інтерфейс командного рядка (CLI)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Ролевий доступ адміністраторів (RBAC)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Підтримка REST API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Вбудований SMTP-сервер для здійснення оповіщення адміністраторів шляхом відправки </w:t>
            </w:r>
            <w:proofErr w:type="spellStart"/>
            <w:r w:rsidRPr="008E1CE5">
              <w:rPr>
                <w:sz w:val="20"/>
                <w:szCs w:val="20"/>
              </w:rPr>
              <w:t>email</w:t>
            </w:r>
            <w:proofErr w:type="spellEnd"/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Ведення журналів подій (</w:t>
            </w:r>
            <w:proofErr w:type="spellStart"/>
            <w:r w:rsidRPr="008E1CE5">
              <w:rPr>
                <w:sz w:val="20"/>
                <w:szCs w:val="20"/>
              </w:rPr>
              <w:t>logging</w:t>
            </w:r>
            <w:proofErr w:type="spellEnd"/>
            <w:r w:rsidRPr="008E1CE5">
              <w:rPr>
                <w:sz w:val="20"/>
                <w:szCs w:val="20"/>
              </w:rPr>
              <w:t>)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Функціонал запису пакетів з мережевих інтерфейсів для подальшого їх аналізу (</w:t>
            </w:r>
            <w:proofErr w:type="spellStart"/>
            <w:r w:rsidRPr="008E1CE5">
              <w:rPr>
                <w:sz w:val="20"/>
                <w:szCs w:val="20"/>
              </w:rPr>
              <w:t>packet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capture</w:t>
            </w:r>
            <w:proofErr w:type="spellEnd"/>
            <w:r w:rsidRPr="008E1CE5">
              <w:rPr>
                <w:sz w:val="20"/>
                <w:szCs w:val="20"/>
              </w:rPr>
              <w:t>)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Функціонал резервного копіювання та відновлення файлів конфігурації 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SNMP v1, v2c, v3 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8E1CE5">
              <w:rPr>
                <w:sz w:val="20"/>
                <w:szCs w:val="20"/>
              </w:rPr>
              <w:t>Syslog</w:t>
            </w:r>
            <w:proofErr w:type="spellEnd"/>
          </w:p>
        </w:tc>
      </w:tr>
      <w:tr w:rsidR="008E1CE5" w:rsidRPr="001F0CA6" w:rsidTr="004B1234">
        <w:trPr>
          <w:trHeight w:val="535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Технічна сервісна підтримка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8B301C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повинна</w:t>
            </w:r>
            <w:bookmarkStart w:id="0" w:name="_GoBack"/>
            <w:bookmarkEnd w:id="0"/>
            <w:r w:rsidR="008E1CE5" w:rsidRPr="008E1CE5">
              <w:rPr>
                <w:sz w:val="20"/>
                <w:szCs w:val="20"/>
              </w:rPr>
              <w:t xml:space="preserve"> забезпечуватись технічною сервісною підтримкою строком не менше ніж 36 місяців у режимі 24*7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Постійний доступ (24*7) до центру технічної підтримки виробника через сайт, електронною поштою та за телефоном для реєстрації сервісних випадків та відкриття звернень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Постійний авторизований доступ (24*7) до сайту виробника 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Отримання основних та проміжних релізів програмного забезпечення через сайт, підтримка програмних кодів у актуальному стані відповідно до рекомендацій виробника на протязі дії технічної сервісної підтримки </w:t>
            </w:r>
          </w:p>
        </w:tc>
      </w:tr>
    </w:tbl>
    <w:p w:rsidR="008E1CE5" w:rsidRPr="008E1CE5" w:rsidRDefault="008E1CE5" w:rsidP="008E1CE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E1CE5" w:rsidRPr="000B68EF" w:rsidRDefault="008E1CE5" w:rsidP="008E1CE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E1CE5">
        <w:rPr>
          <w:rFonts w:ascii="Times New Roman" w:hAnsi="Times New Roman" w:cs="Times New Roman"/>
          <w:b/>
          <w:sz w:val="20"/>
          <w:szCs w:val="20"/>
          <w:lang w:val="uk-UA"/>
        </w:rPr>
        <w:t>2.</w:t>
      </w:r>
      <w:r w:rsidRPr="008E1CE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8E1CE5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Вимоги до програмного забезпечення </w:t>
      </w:r>
      <w:proofErr w:type="spellStart"/>
      <w:r w:rsidRPr="008E1CE5">
        <w:rPr>
          <w:rFonts w:ascii="Times New Roman" w:hAnsi="Times New Roman" w:cs="Times New Roman"/>
          <w:b/>
          <w:sz w:val="20"/>
          <w:szCs w:val="20"/>
          <w:lang w:val="uk-UA"/>
        </w:rPr>
        <w:t>двофакторної</w:t>
      </w:r>
      <w:proofErr w:type="spellEnd"/>
      <w:r w:rsidRPr="008E1CE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автентифікації для мобільних пристроїв (</w:t>
      </w:r>
      <w:proofErr w:type="spellStart"/>
      <w:r w:rsidRPr="008E1CE5">
        <w:rPr>
          <w:rFonts w:ascii="Times New Roman" w:hAnsi="Times New Roman" w:cs="Times New Roman"/>
          <w:b/>
          <w:sz w:val="20"/>
          <w:szCs w:val="20"/>
          <w:lang w:val="uk-UA"/>
        </w:rPr>
        <w:t>One-Time</w:t>
      </w:r>
      <w:proofErr w:type="spellEnd"/>
      <w:r w:rsidRPr="008E1CE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8E1CE5">
        <w:rPr>
          <w:rFonts w:ascii="Times New Roman" w:hAnsi="Times New Roman" w:cs="Times New Roman"/>
          <w:b/>
          <w:sz w:val="20"/>
          <w:szCs w:val="20"/>
          <w:lang w:val="uk-UA"/>
        </w:rPr>
        <w:t>Password</w:t>
      </w:r>
      <w:proofErr w:type="spellEnd"/>
      <w:r w:rsidRPr="008E1CE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8E1CE5">
        <w:rPr>
          <w:rFonts w:ascii="Times New Roman" w:hAnsi="Times New Roman" w:cs="Times New Roman"/>
          <w:b/>
          <w:sz w:val="20"/>
          <w:szCs w:val="20"/>
          <w:lang w:val="uk-UA"/>
        </w:rPr>
        <w:t>Mobile</w:t>
      </w:r>
      <w:proofErr w:type="spellEnd"/>
      <w:r w:rsidRPr="008E1CE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8E1CE5">
        <w:rPr>
          <w:rFonts w:ascii="Times New Roman" w:hAnsi="Times New Roman" w:cs="Times New Roman"/>
          <w:b/>
          <w:sz w:val="20"/>
          <w:szCs w:val="20"/>
          <w:lang w:val="uk-UA"/>
        </w:rPr>
        <w:t>Token</w:t>
      </w:r>
      <w:proofErr w:type="spellEnd"/>
      <w:r w:rsidRPr="008E1CE5">
        <w:rPr>
          <w:rFonts w:ascii="Times New Roman" w:hAnsi="Times New Roman" w:cs="Times New Roman"/>
          <w:b/>
          <w:sz w:val="20"/>
          <w:szCs w:val="20"/>
          <w:lang w:val="uk-U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4"/>
        <w:gridCol w:w="3254"/>
      </w:tblGrid>
      <w:tr w:rsidR="008E1CE5" w:rsidRPr="008E1CE5" w:rsidTr="004B1234">
        <w:trPr>
          <w:trHeight w:val="482"/>
        </w:trPr>
        <w:tc>
          <w:tcPr>
            <w:tcW w:w="3310" w:type="pct"/>
            <w:vAlign w:val="center"/>
          </w:tcPr>
          <w:p w:rsidR="008E1CE5" w:rsidRPr="008E1CE5" w:rsidRDefault="008E1CE5" w:rsidP="004B1234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та опис</w:t>
            </w:r>
          </w:p>
        </w:tc>
        <w:tc>
          <w:tcPr>
            <w:tcW w:w="1690" w:type="pct"/>
            <w:vAlign w:val="center"/>
          </w:tcPr>
          <w:p w:rsidR="008E1CE5" w:rsidRPr="008E1CE5" w:rsidRDefault="00472034" w:rsidP="004B1234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Кількість </w:t>
            </w:r>
          </w:p>
        </w:tc>
      </w:tr>
      <w:tr w:rsidR="008E1CE5" w:rsidRPr="008E1CE5" w:rsidTr="004B1234">
        <w:trPr>
          <w:trHeight w:val="597"/>
        </w:trPr>
        <w:tc>
          <w:tcPr>
            <w:tcW w:w="3310" w:type="pct"/>
            <w:vAlign w:val="center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color w:val="000000"/>
                <w:sz w:val="20"/>
                <w:szCs w:val="20"/>
              </w:rPr>
              <w:t xml:space="preserve">Програмне забезпечення </w:t>
            </w:r>
            <w:proofErr w:type="spellStart"/>
            <w:r w:rsidRPr="008E1CE5">
              <w:rPr>
                <w:color w:val="000000"/>
                <w:sz w:val="20"/>
                <w:szCs w:val="20"/>
              </w:rPr>
              <w:t>двофакторної</w:t>
            </w:r>
            <w:proofErr w:type="spellEnd"/>
            <w:r w:rsidRPr="008E1CE5">
              <w:rPr>
                <w:color w:val="000000"/>
                <w:sz w:val="20"/>
                <w:szCs w:val="20"/>
              </w:rPr>
              <w:t xml:space="preserve"> автентифікації для мобільних носіїв (</w:t>
            </w:r>
            <w:proofErr w:type="spellStart"/>
            <w:r w:rsidRPr="008E1CE5">
              <w:rPr>
                <w:color w:val="000000"/>
                <w:sz w:val="20"/>
                <w:szCs w:val="20"/>
              </w:rPr>
              <w:t>One-Time</w:t>
            </w:r>
            <w:proofErr w:type="spellEnd"/>
            <w:r w:rsidRPr="008E1C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color w:val="000000"/>
                <w:sz w:val="20"/>
                <w:szCs w:val="20"/>
              </w:rPr>
              <w:t>Password</w:t>
            </w:r>
            <w:proofErr w:type="spellEnd"/>
            <w:r w:rsidRPr="008E1C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color w:val="000000"/>
                <w:sz w:val="20"/>
                <w:szCs w:val="20"/>
              </w:rPr>
              <w:t>Mobile</w:t>
            </w:r>
            <w:proofErr w:type="spellEnd"/>
            <w:r w:rsidRPr="008E1CE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color w:val="000000"/>
                <w:sz w:val="20"/>
                <w:szCs w:val="20"/>
              </w:rPr>
              <w:t>Token</w:t>
            </w:r>
            <w:proofErr w:type="spellEnd"/>
            <w:r w:rsidRPr="008E1CE5">
              <w:rPr>
                <w:color w:val="000000"/>
                <w:sz w:val="20"/>
                <w:szCs w:val="20"/>
              </w:rPr>
              <w:t xml:space="preserve">) на 500 користувачів з </w:t>
            </w:r>
            <w:r w:rsidRPr="008E1CE5">
              <w:rPr>
                <w:sz w:val="20"/>
                <w:szCs w:val="20"/>
              </w:rPr>
              <w:t>постійною ліцензією на використання</w:t>
            </w:r>
          </w:p>
        </w:tc>
        <w:tc>
          <w:tcPr>
            <w:tcW w:w="1690" w:type="pct"/>
            <w:vAlign w:val="center"/>
          </w:tcPr>
          <w:p w:rsidR="008E1CE5" w:rsidRPr="008E1CE5" w:rsidRDefault="008E1CE5" w:rsidP="004B1234">
            <w:pPr>
              <w:suppressLineNumber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</w:tr>
    </w:tbl>
    <w:p w:rsidR="008E1CE5" w:rsidRPr="008E1CE5" w:rsidRDefault="008E1CE5" w:rsidP="008E1CE5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7053"/>
      </w:tblGrid>
      <w:tr w:rsidR="008E1CE5" w:rsidRPr="008E1CE5" w:rsidTr="004B1234">
        <w:trPr>
          <w:trHeight w:val="461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br w:type="page"/>
              <w:t>Найменування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1006CE" w:rsidP="004B1234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Вимоги </w:t>
            </w:r>
          </w:p>
        </w:tc>
      </w:tr>
      <w:tr w:rsidR="008E1CE5" w:rsidRPr="001F0CA6" w:rsidTr="004B1234">
        <w:trPr>
          <w:trHeight w:val="461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keepNext/>
              <w:suppressAutoHyphens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Загальні вимоги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Якщо відповідно до функціональності програмного забезпечення або згідно архітектурного підходу реалізація технічних вимог потребує додаткових систем або ліцензій, то все це має бути закладено в комплект поставки з урахуванням вимог до строку та функціональності технічної підтримки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Всі необхідні ліцензії для забезпечення зазначеного в цих вимогах функціоналу та кількісних показників продуктивності мають бути у комплекті запропонованого рішення  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На програмне забезпечення не має бути анонсів </w:t>
            </w:r>
            <w:proofErr w:type="spellStart"/>
            <w:r w:rsidRPr="008E1CE5">
              <w:rPr>
                <w:sz w:val="20"/>
                <w:szCs w:val="20"/>
              </w:rPr>
              <w:t>end-of-sale</w:t>
            </w:r>
            <w:proofErr w:type="spellEnd"/>
            <w:r w:rsidRPr="008E1CE5">
              <w:rPr>
                <w:sz w:val="20"/>
                <w:szCs w:val="20"/>
              </w:rPr>
              <w:t xml:space="preserve"> та </w:t>
            </w:r>
            <w:proofErr w:type="spellStart"/>
            <w:r w:rsidRPr="008E1CE5">
              <w:rPr>
                <w:sz w:val="20"/>
                <w:szCs w:val="20"/>
              </w:rPr>
              <w:t>end-of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life</w:t>
            </w:r>
            <w:proofErr w:type="spellEnd"/>
            <w:r w:rsidRPr="008E1CE5">
              <w:rPr>
                <w:sz w:val="20"/>
                <w:szCs w:val="20"/>
              </w:rPr>
              <w:t xml:space="preserve"> (EOS/EOL) від виробника</w:t>
            </w:r>
          </w:p>
        </w:tc>
      </w:tr>
      <w:tr w:rsidR="008E1CE5" w:rsidRPr="008E1CE5" w:rsidTr="004B1234">
        <w:trPr>
          <w:trHeight w:val="531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Архітектура та форм-фактор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Програмне забезпечення та ліцензія на його використання</w:t>
            </w:r>
          </w:p>
        </w:tc>
      </w:tr>
      <w:tr w:rsidR="008E1CE5" w:rsidRPr="008E1CE5" w:rsidTr="004B1234">
        <w:trPr>
          <w:trHeight w:val="535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Ліцензування 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Ліцензії, мають бути безстроковими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Ліцензії мають забезпечувати повнофункціональну роботу системи для не менше чим 500 користувачів</w:t>
            </w:r>
          </w:p>
        </w:tc>
      </w:tr>
      <w:tr w:rsidR="008E1CE5" w:rsidRPr="008E1CE5" w:rsidTr="004B1234">
        <w:trPr>
          <w:trHeight w:val="535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Основна функціональність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Генерація одноразових паролів на певний проміжок часу для додаткової автентифікації користувачів для  SSL VPN, </w:t>
            </w:r>
            <w:proofErr w:type="spellStart"/>
            <w:r w:rsidRPr="008E1CE5">
              <w:rPr>
                <w:sz w:val="20"/>
                <w:szCs w:val="20"/>
              </w:rPr>
              <w:t>IPsec</w:t>
            </w:r>
            <w:proofErr w:type="spellEnd"/>
            <w:r w:rsidRPr="008E1CE5">
              <w:rPr>
                <w:sz w:val="20"/>
                <w:szCs w:val="20"/>
              </w:rPr>
              <w:t xml:space="preserve"> VPN, доступу до </w:t>
            </w:r>
            <w:proofErr w:type="spellStart"/>
            <w:r w:rsidRPr="008E1CE5">
              <w:rPr>
                <w:sz w:val="20"/>
                <w:szCs w:val="20"/>
              </w:rPr>
              <w:t>Captive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Portal</w:t>
            </w:r>
            <w:proofErr w:type="spellEnd"/>
            <w:r w:rsidRPr="008E1CE5">
              <w:rPr>
                <w:sz w:val="20"/>
                <w:szCs w:val="20"/>
              </w:rPr>
              <w:t xml:space="preserve"> та адміністративного доступу до пристроїв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Генерація одноразових паролів кожні 60 секунд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8E1CE5">
              <w:rPr>
                <w:sz w:val="20"/>
                <w:szCs w:val="20"/>
              </w:rPr>
              <w:t>Push</w:t>
            </w:r>
            <w:proofErr w:type="spellEnd"/>
            <w:r w:rsidRPr="008E1CE5">
              <w:rPr>
                <w:sz w:val="20"/>
                <w:szCs w:val="20"/>
              </w:rPr>
              <w:t>-повідомлення має показувати деталі на мобільному пристрої, щоб підтвердити або відхилити одним дотиком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Сертифікат безпеки мобільних додатків (версія 3.1) для пристроїв </w:t>
            </w:r>
            <w:proofErr w:type="spellStart"/>
            <w:r w:rsidRPr="008E1CE5">
              <w:rPr>
                <w:sz w:val="20"/>
                <w:szCs w:val="20"/>
              </w:rPr>
              <w:t>Android</w:t>
            </w:r>
            <w:proofErr w:type="spellEnd"/>
            <w:r w:rsidRPr="008E1CE5">
              <w:rPr>
                <w:sz w:val="20"/>
                <w:szCs w:val="20"/>
              </w:rPr>
              <w:t xml:space="preserve"> та </w:t>
            </w:r>
            <w:proofErr w:type="spellStart"/>
            <w:r w:rsidRPr="008E1CE5">
              <w:rPr>
                <w:sz w:val="20"/>
                <w:szCs w:val="20"/>
              </w:rPr>
              <w:t>iOS</w:t>
            </w:r>
            <w:proofErr w:type="spellEnd"/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Запатентована </w:t>
            </w:r>
            <w:proofErr w:type="spellStart"/>
            <w:r w:rsidRPr="008E1CE5">
              <w:rPr>
                <w:sz w:val="20"/>
                <w:szCs w:val="20"/>
              </w:rPr>
              <w:t>міжплатформна</w:t>
            </w:r>
            <w:proofErr w:type="spellEnd"/>
            <w:r w:rsidRPr="008E1CE5">
              <w:rPr>
                <w:sz w:val="20"/>
                <w:szCs w:val="20"/>
              </w:rPr>
              <w:t xml:space="preserve"> передача </w:t>
            </w:r>
            <w:proofErr w:type="spellStart"/>
            <w:r w:rsidRPr="008E1CE5">
              <w:rPr>
                <w:sz w:val="20"/>
                <w:szCs w:val="20"/>
              </w:rPr>
              <w:t>токенів</w:t>
            </w:r>
            <w:proofErr w:type="spellEnd"/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Можливість захисту програми PIN-кодом/відбитком пальця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Можливість використання камери для сканування QR-кодів для спрощення  активації </w:t>
            </w:r>
            <w:proofErr w:type="spellStart"/>
            <w:r w:rsidRPr="008E1CE5">
              <w:rPr>
                <w:sz w:val="20"/>
                <w:szCs w:val="20"/>
              </w:rPr>
              <w:t>токенів</w:t>
            </w:r>
            <w:proofErr w:type="spellEnd"/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Можливість копіювання OTP у буфер обміну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Відображення інтервалу часу OTP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>Відображення серійного номера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Керування </w:t>
            </w:r>
            <w:proofErr w:type="spellStart"/>
            <w:r w:rsidRPr="008E1CE5">
              <w:rPr>
                <w:sz w:val="20"/>
                <w:szCs w:val="20"/>
              </w:rPr>
              <w:t>токеном</w:t>
            </w:r>
            <w:proofErr w:type="spellEnd"/>
            <w:r w:rsidRPr="008E1CE5">
              <w:rPr>
                <w:sz w:val="20"/>
                <w:szCs w:val="20"/>
              </w:rPr>
              <w:t xml:space="preserve"> і додатком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Захист від </w:t>
            </w:r>
            <w:proofErr w:type="spellStart"/>
            <w:r w:rsidRPr="008E1CE5">
              <w:rPr>
                <w:sz w:val="20"/>
                <w:szCs w:val="20"/>
              </w:rPr>
              <w:t>brute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force</w:t>
            </w:r>
            <w:proofErr w:type="spellEnd"/>
          </w:p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Сумісність з </w:t>
            </w:r>
            <w:proofErr w:type="spellStart"/>
            <w:r w:rsidRPr="008E1CE5">
              <w:rPr>
                <w:sz w:val="20"/>
                <w:szCs w:val="20"/>
              </w:rPr>
              <w:t>Apple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Watch</w:t>
            </w:r>
            <w:proofErr w:type="spellEnd"/>
          </w:p>
        </w:tc>
      </w:tr>
      <w:tr w:rsidR="008E1CE5" w:rsidRPr="008E1CE5" w:rsidTr="004B1234">
        <w:trPr>
          <w:trHeight w:val="535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Операційні системи та платформи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Програмне забезпечення </w:t>
            </w:r>
            <w:proofErr w:type="spellStart"/>
            <w:r w:rsidRPr="008E1CE5">
              <w:rPr>
                <w:sz w:val="20"/>
                <w:szCs w:val="20"/>
              </w:rPr>
              <w:t>двофакторної</w:t>
            </w:r>
            <w:proofErr w:type="spellEnd"/>
            <w:r w:rsidRPr="008E1CE5">
              <w:rPr>
                <w:sz w:val="20"/>
                <w:szCs w:val="20"/>
              </w:rPr>
              <w:t xml:space="preserve"> автентифікації має підтримуватися на наступних платформах: 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8E1CE5">
              <w:rPr>
                <w:sz w:val="20"/>
                <w:szCs w:val="20"/>
              </w:rPr>
              <w:t>Android</w:t>
            </w:r>
            <w:proofErr w:type="spellEnd"/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8E1CE5">
              <w:rPr>
                <w:sz w:val="20"/>
                <w:szCs w:val="20"/>
              </w:rPr>
              <w:t>iOS</w:t>
            </w:r>
            <w:proofErr w:type="spellEnd"/>
            <w:r w:rsidRPr="008E1CE5">
              <w:rPr>
                <w:sz w:val="20"/>
                <w:szCs w:val="20"/>
              </w:rPr>
              <w:t xml:space="preserve"> (</w:t>
            </w:r>
            <w:proofErr w:type="spellStart"/>
            <w:r w:rsidRPr="008E1CE5">
              <w:rPr>
                <w:sz w:val="20"/>
                <w:szCs w:val="20"/>
              </w:rPr>
              <w:t>iPhone</w:t>
            </w:r>
            <w:proofErr w:type="spellEnd"/>
            <w:r w:rsidRPr="008E1CE5">
              <w:rPr>
                <w:sz w:val="20"/>
                <w:szCs w:val="20"/>
              </w:rPr>
              <w:t xml:space="preserve">, </w:t>
            </w:r>
            <w:proofErr w:type="spellStart"/>
            <w:r w:rsidRPr="008E1CE5">
              <w:rPr>
                <w:sz w:val="20"/>
                <w:szCs w:val="20"/>
              </w:rPr>
              <w:t>iPod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Touch</w:t>
            </w:r>
            <w:proofErr w:type="spellEnd"/>
            <w:r w:rsidRPr="008E1CE5">
              <w:rPr>
                <w:sz w:val="20"/>
                <w:szCs w:val="20"/>
              </w:rPr>
              <w:t xml:space="preserve">, </w:t>
            </w:r>
            <w:proofErr w:type="spellStart"/>
            <w:r w:rsidRPr="008E1CE5">
              <w:rPr>
                <w:sz w:val="20"/>
                <w:szCs w:val="20"/>
              </w:rPr>
              <w:t>iPad</w:t>
            </w:r>
            <w:proofErr w:type="spellEnd"/>
            <w:r w:rsidRPr="008E1CE5">
              <w:rPr>
                <w:sz w:val="20"/>
                <w:szCs w:val="20"/>
              </w:rPr>
              <w:t xml:space="preserve">, </w:t>
            </w:r>
            <w:proofErr w:type="spellStart"/>
            <w:r w:rsidRPr="008E1CE5">
              <w:rPr>
                <w:sz w:val="20"/>
                <w:szCs w:val="20"/>
              </w:rPr>
              <w:t>iWatch</w:t>
            </w:r>
            <w:proofErr w:type="spellEnd"/>
            <w:r w:rsidRPr="008E1CE5">
              <w:rPr>
                <w:sz w:val="20"/>
                <w:szCs w:val="20"/>
              </w:rPr>
              <w:t>)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Windows </w:t>
            </w:r>
            <w:proofErr w:type="spellStart"/>
            <w:r w:rsidRPr="008E1CE5">
              <w:rPr>
                <w:sz w:val="20"/>
                <w:szCs w:val="20"/>
              </w:rPr>
              <w:t>Phone</w:t>
            </w:r>
            <w:proofErr w:type="spellEnd"/>
            <w:r w:rsidRPr="008E1CE5">
              <w:rPr>
                <w:sz w:val="20"/>
                <w:szCs w:val="20"/>
              </w:rPr>
              <w:t xml:space="preserve"> 8/8.1, Windows 10</w:t>
            </w:r>
          </w:p>
          <w:p w:rsidR="008E1CE5" w:rsidRPr="008E1CE5" w:rsidRDefault="008E1CE5" w:rsidP="008E1CE5">
            <w:pPr>
              <w:pStyle w:val="a9"/>
              <w:numPr>
                <w:ilvl w:val="0"/>
                <w:numId w:val="3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Windows </w:t>
            </w:r>
            <w:proofErr w:type="spellStart"/>
            <w:r w:rsidRPr="008E1CE5">
              <w:rPr>
                <w:sz w:val="20"/>
                <w:szCs w:val="20"/>
              </w:rPr>
              <w:t>Universal</w:t>
            </w:r>
            <w:proofErr w:type="spellEnd"/>
            <w:r w:rsidRPr="008E1CE5">
              <w:rPr>
                <w:sz w:val="20"/>
                <w:szCs w:val="20"/>
              </w:rPr>
              <w:t xml:space="preserve"> </w:t>
            </w:r>
            <w:proofErr w:type="spellStart"/>
            <w:r w:rsidRPr="008E1CE5">
              <w:rPr>
                <w:sz w:val="20"/>
                <w:szCs w:val="20"/>
              </w:rPr>
              <w:t>Platform</w:t>
            </w:r>
            <w:proofErr w:type="spellEnd"/>
          </w:p>
        </w:tc>
      </w:tr>
      <w:tr w:rsidR="008E1CE5" w:rsidRPr="008E1CE5" w:rsidTr="004B1234">
        <w:trPr>
          <w:trHeight w:val="535"/>
        </w:trPr>
        <w:tc>
          <w:tcPr>
            <w:tcW w:w="1337" w:type="pct"/>
            <w:shd w:val="clear" w:color="auto" w:fill="auto"/>
          </w:tcPr>
          <w:p w:rsidR="008E1CE5" w:rsidRPr="008E1CE5" w:rsidRDefault="008E1CE5" w:rsidP="004B1234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1CE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Технічна сервісна підтримка</w:t>
            </w:r>
          </w:p>
        </w:tc>
        <w:tc>
          <w:tcPr>
            <w:tcW w:w="3663" w:type="pct"/>
            <w:shd w:val="clear" w:color="auto" w:fill="auto"/>
          </w:tcPr>
          <w:p w:rsidR="008E1CE5" w:rsidRPr="008E1CE5" w:rsidRDefault="008E1CE5" w:rsidP="008E1CE5">
            <w:pPr>
              <w:pStyle w:val="a9"/>
              <w:numPr>
                <w:ilvl w:val="0"/>
                <w:numId w:val="1"/>
              </w:numPr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8E1CE5">
              <w:rPr>
                <w:sz w:val="20"/>
                <w:szCs w:val="20"/>
              </w:rPr>
              <w:t xml:space="preserve">Можливість оновлення програмного забезпечення, підтримка програмних кодів у актуальному стані відповідно до рекомендацій виробника </w:t>
            </w:r>
          </w:p>
        </w:tc>
      </w:tr>
    </w:tbl>
    <w:p w:rsidR="008E1CE5" w:rsidRPr="008E1CE5" w:rsidRDefault="008E1CE5" w:rsidP="008E1CE5">
      <w:pPr>
        <w:pStyle w:val="a9"/>
        <w:ind w:left="0" w:firstLine="0"/>
        <w:rPr>
          <w:szCs w:val="24"/>
        </w:rPr>
      </w:pPr>
    </w:p>
    <w:p w:rsidR="00B43E42" w:rsidRPr="00B43E42" w:rsidRDefault="00B43E42" w:rsidP="00B43E42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</w:pPr>
      <w:r w:rsidRPr="00B43E42"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  <w:t>Покупець:</w:t>
      </w:r>
      <w:r>
        <w:rPr>
          <w:rFonts w:ascii="Times New Roman" w:hAnsi="Times New Roman" w:cs="Times New Roman"/>
          <w:b/>
          <w:color w:val="171717"/>
          <w:sz w:val="24"/>
          <w:szCs w:val="24"/>
          <w:lang w:val="uk-UA"/>
        </w:rPr>
        <w:t xml:space="preserve">                                                                  Постачальник:</w:t>
      </w:r>
    </w:p>
    <w:p w:rsidR="00B43E42" w:rsidRDefault="00B43E42" w:rsidP="00B43E42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</w:p>
    <w:p w:rsidR="00B43E42" w:rsidRPr="008E1CE5" w:rsidRDefault="00B43E42" w:rsidP="00B43E42">
      <w:pPr>
        <w:tabs>
          <w:tab w:val="left" w:pos="8789"/>
          <w:tab w:val="left" w:pos="921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171717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71717"/>
          <w:sz w:val="24"/>
          <w:szCs w:val="24"/>
          <w:lang w:val="uk-UA"/>
        </w:rPr>
        <w:t>__________/____________                                       __________/____________</w:t>
      </w:r>
    </w:p>
    <w:sectPr w:rsidR="00B43E42" w:rsidRPr="008E1CE5" w:rsidSect="00A01C53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E7" w:rsidRDefault="00D13CE7" w:rsidP="00676941">
      <w:pPr>
        <w:spacing w:after="0" w:line="240" w:lineRule="auto"/>
      </w:pPr>
      <w:r>
        <w:separator/>
      </w:r>
    </w:p>
  </w:endnote>
  <w:endnote w:type="continuationSeparator" w:id="0">
    <w:p w:rsidR="00D13CE7" w:rsidRDefault="00D13CE7" w:rsidP="0067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E7" w:rsidRDefault="00D13CE7" w:rsidP="00676941">
      <w:pPr>
        <w:spacing w:after="0" w:line="240" w:lineRule="auto"/>
      </w:pPr>
      <w:r>
        <w:separator/>
      </w:r>
    </w:p>
  </w:footnote>
  <w:footnote w:type="continuationSeparator" w:id="0">
    <w:p w:rsidR="00D13CE7" w:rsidRDefault="00D13CE7" w:rsidP="0067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913981"/>
      <w:docPartObj>
        <w:docPartGallery w:val="Page Numbers (Top of Page)"/>
        <w:docPartUnique/>
      </w:docPartObj>
    </w:sdtPr>
    <w:sdtEndPr/>
    <w:sdtContent>
      <w:p w:rsidR="00676941" w:rsidRDefault="006769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EDE">
          <w:rPr>
            <w:noProof/>
          </w:rPr>
          <w:t>10</w:t>
        </w:r>
        <w:r>
          <w:fldChar w:fldCharType="end"/>
        </w:r>
      </w:p>
    </w:sdtContent>
  </w:sdt>
  <w:p w:rsidR="00676941" w:rsidRDefault="006769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D9C"/>
    <w:multiLevelType w:val="hybridMultilevel"/>
    <w:tmpl w:val="19EA8B1C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A008E"/>
    <w:multiLevelType w:val="hybridMultilevel"/>
    <w:tmpl w:val="D9D4287C"/>
    <w:lvl w:ilvl="0" w:tplc="0409000D">
      <w:start w:val="1"/>
      <w:numFmt w:val="bullet"/>
      <w:lvlText w:val="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" w15:restartNumberingAfterBreak="0">
    <w:nsid w:val="74610EB5"/>
    <w:multiLevelType w:val="hybridMultilevel"/>
    <w:tmpl w:val="9DB6E9D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7C"/>
    <w:rsid w:val="000549E6"/>
    <w:rsid w:val="00061A4E"/>
    <w:rsid w:val="00067B70"/>
    <w:rsid w:val="000701CC"/>
    <w:rsid w:val="0008188E"/>
    <w:rsid w:val="0009549A"/>
    <w:rsid w:val="000A2303"/>
    <w:rsid w:val="000B68EF"/>
    <w:rsid w:val="000C5825"/>
    <w:rsid w:val="000F424E"/>
    <w:rsid w:val="001006CE"/>
    <w:rsid w:val="00122363"/>
    <w:rsid w:val="00190E33"/>
    <w:rsid w:val="00193C66"/>
    <w:rsid w:val="001A733C"/>
    <w:rsid w:val="001D0EAE"/>
    <w:rsid w:val="001F062F"/>
    <w:rsid w:val="001F0CA6"/>
    <w:rsid w:val="0023036C"/>
    <w:rsid w:val="00241182"/>
    <w:rsid w:val="00286247"/>
    <w:rsid w:val="002B7176"/>
    <w:rsid w:val="002C6F5B"/>
    <w:rsid w:val="002C79D3"/>
    <w:rsid w:val="002E03EA"/>
    <w:rsid w:val="002F52F8"/>
    <w:rsid w:val="003056FC"/>
    <w:rsid w:val="00307AB8"/>
    <w:rsid w:val="00335895"/>
    <w:rsid w:val="003446AE"/>
    <w:rsid w:val="003B20DF"/>
    <w:rsid w:val="003C3432"/>
    <w:rsid w:val="003C4032"/>
    <w:rsid w:val="003D36B5"/>
    <w:rsid w:val="003D6283"/>
    <w:rsid w:val="004408BC"/>
    <w:rsid w:val="00447104"/>
    <w:rsid w:val="00457692"/>
    <w:rsid w:val="00466920"/>
    <w:rsid w:val="00472034"/>
    <w:rsid w:val="0047554F"/>
    <w:rsid w:val="00476080"/>
    <w:rsid w:val="004A0C1B"/>
    <w:rsid w:val="004B65A6"/>
    <w:rsid w:val="00502755"/>
    <w:rsid w:val="0050303D"/>
    <w:rsid w:val="00520D24"/>
    <w:rsid w:val="00543955"/>
    <w:rsid w:val="0057336F"/>
    <w:rsid w:val="0060144E"/>
    <w:rsid w:val="00603DD5"/>
    <w:rsid w:val="006267DB"/>
    <w:rsid w:val="00635F1D"/>
    <w:rsid w:val="0067009A"/>
    <w:rsid w:val="00675665"/>
    <w:rsid w:val="00676941"/>
    <w:rsid w:val="006929C3"/>
    <w:rsid w:val="00694CF4"/>
    <w:rsid w:val="006D53DA"/>
    <w:rsid w:val="006E45B9"/>
    <w:rsid w:val="0071039D"/>
    <w:rsid w:val="00724A10"/>
    <w:rsid w:val="0073016B"/>
    <w:rsid w:val="007330C0"/>
    <w:rsid w:val="00735D68"/>
    <w:rsid w:val="00741FFE"/>
    <w:rsid w:val="00757281"/>
    <w:rsid w:val="00757654"/>
    <w:rsid w:val="0076735E"/>
    <w:rsid w:val="00767FE6"/>
    <w:rsid w:val="007805EC"/>
    <w:rsid w:val="007869EB"/>
    <w:rsid w:val="007878D2"/>
    <w:rsid w:val="007B3003"/>
    <w:rsid w:val="007C6C95"/>
    <w:rsid w:val="007D5BEF"/>
    <w:rsid w:val="007F3EAD"/>
    <w:rsid w:val="0082534B"/>
    <w:rsid w:val="00855E4A"/>
    <w:rsid w:val="00860B88"/>
    <w:rsid w:val="00895760"/>
    <w:rsid w:val="008A44F4"/>
    <w:rsid w:val="008B301C"/>
    <w:rsid w:val="008E1CE5"/>
    <w:rsid w:val="008F3383"/>
    <w:rsid w:val="008F599C"/>
    <w:rsid w:val="009217F9"/>
    <w:rsid w:val="009601FD"/>
    <w:rsid w:val="00965E93"/>
    <w:rsid w:val="009724C3"/>
    <w:rsid w:val="00983782"/>
    <w:rsid w:val="0099046B"/>
    <w:rsid w:val="009B336A"/>
    <w:rsid w:val="009C1C49"/>
    <w:rsid w:val="009C60FC"/>
    <w:rsid w:val="009E35DA"/>
    <w:rsid w:val="00A006C9"/>
    <w:rsid w:val="00A01C53"/>
    <w:rsid w:val="00A02B7A"/>
    <w:rsid w:val="00A04F05"/>
    <w:rsid w:val="00A36957"/>
    <w:rsid w:val="00A534C5"/>
    <w:rsid w:val="00A57953"/>
    <w:rsid w:val="00AB7205"/>
    <w:rsid w:val="00AD573D"/>
    <w:rsid w:val="00AD59F2"/>
    <w:rsid w:val="00AF4D3E"/>
    <w:rsid w:val="00B154B9"/>
    <w:rsid w:val="00B40504"/>
    <w:rsid w:val="00B43E42"/>
    <w:rsid w:val="00B5077C"/>
    <w:rsid w:val="00B55564"/>
    <w:rsid w:val="00B63709"/>
    <w:rsid w:val="00B70517"/>
    <w:rsid w:val="00B8745A"/>
    <w:rsid w:val="00B94ACD"/>
    <w:rsid w:val="00BA57EA"/>
    <w:rsid w:val="00BB24C8"/>
    <w:rsid w:val="00BC7744"/>
    <w:rsid w:val="00BD3EDE"/>
    <w:rsid w:val="00BD5753"/>
    <w:rsid w:val="00BE1A35"/>
    <w:rsid w:val="00C14E3B"/>
    <w:rsid w:val="00C23293"/>
    <w:rsid w:val="00C42937"/>
    <w:rsid w:val="00C834F1"/>
    <w:rsid w:val="00CA00C5"/>
    <w:rsid w:val="00CE12F7"/>
    <w:rsid w:val="00CE4395"/>
    <w:rsid w:val="00CF08D8"/>
    <w:rsid w:val="00CF6FFB"/>
    <w:rsid w:val="00D13CE7"/>
    <w:rsid w:val="00D149AF"/>
    <w:rsid w:val="00D1742C"/>
    <w:rsid w:val="00D27989"/>
    <w:rsid w:val="00D31F1D"/>
    <w:rsid w:val="00D63F5D"/>
    <w:rsid w:val="00D77BD6"/>
    <w:rsid w:val="00D80AA0"/>
    <w:rsid w:val="00DB049E"/>
    <w:rsid w:val="00DE5AE1"/>
    <w:rsid w:val="00E06590"/>
    <w:rsid w:val="00E07D70"/>
    <w:rsid w:val="00E23FEE"/>
    <w:rsid w:val="00E563BF"/>
    <w:rsid w:val="00E93175"/>
    <w:rsid w:val="00EA22AE"/>
    <w:rsid w:val="00EB68B2"/>
    <w:rsid w:val="00EC3D0A"/>
    <w:rsid w:val="00EE788F"/>
    <w:rsid w:val="00F45913"/>
    <w:rsid w:val="00F51CC8"/>
    <w:rsid w:val="00F95065"/>
    <w:rsid w:val="00FD7541"/>
    <w:rsid w:val="00FE27B0"/>
    <w:rsid w:val="00FE40FC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59EF"/>
  <w15:chartTrackingRefBased/>
  <w15:docId w15:val="{836F2E6F-5CF9-4E15-98A4-75C7157A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60F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941"/>
  </w:style>
  <w:style w:type="paragraph" w:styleId="a5">
    <w:name w:val="footer"/>
    <w:basedOn w:val="a"/>
    <w:link w:val="a6"/>
    <w:uiPriority w:val="99"/>
    <w:unhideWhenUsed/>
    <w:rsid w:val="0067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941"/>
  </w:style>
  <w:style w:type="paragraph" w:styleId="a7">
    <w:name w:val="Balloon Text"/>
    <w:basedOn w:val="a"/>
    <w:link w:val="a8"/>
    <w:uiPriority w:val="99"/>
    <w:semiHidden/>
    <w:unhideWhenUsed/>
    <w:rsid w:val="0007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C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C60FC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paragraph" w:styleId="a9">
    <w:name w:val="List Paragraph"/>
    <w:aliases w:val="lp1,List Paragraph1,Number Bullets"/>
    <w:basedOn w:val="a"/>
    <w:link w:val="aa"/>
    <w:uiPriority w:val="34"/>
    <w:qFormat/>
    <w:rsid w:val="009C60FC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customStyle="1" w:styleId="aa">
    <w:name w:val="Абзац списка Знак"/>
    <w:aliases w:val="lp1 Знак,List Paragraph1 Знак,Number Bullets Знак"/>
    <w:link w:val="a9"/>
    <w:uiPriority w:val="34"/>
    <w:rsid w:val="009C60FC"/>
    <w:rPr>
      <w:rFonts w:ascii="Times New Roman" w:eastAsia="Calibri" w:hAnsi="Times New Roman" w:cs="Times New Roman"/>
      <w:sz w:val="24"/>
      <w:lang w:val="uk-UA"/>
    </w:rPr>
  </w:style>
  <w:style w:type="table" w:styleId="ab">
    <w:name w:val="Table Grid"/>
    <w:basedOn w:val="a1"/>
    <w:uiPriority w:val="39"/>
    <w:rsid w:val="0057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0549E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9E6"/>
    <w:pPr>
      <w:widowControl w:val="0"/>
      <w:shd w:val="clear" w:color="auto" w:fill="FFFFFF"/>
      <w:spacing w:after="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ca_esv=c5f02fd2b2be415a&amp;rlz=1C1GCEA_enUA1059UA1059&amp;q=FortiAuthenticator&amp;spell=1&amp;sa=X&amp;ved=2ahUKEwiEodSjxdyEAxUb9AIHHV30AoMQkeECKAB6BAgGE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ca_esv=c5f02fd2b2be415a&amp;rlz=1C1GCEA_enUA1059UA1059&amp;q=FortiAuthenticator&amp;spell=1&amp;sa=X&amp;ved=2ahUKEwiEodSjxdyEAxUb9AIHHV30AoMQkeECKAB6BAgGEA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ools.ietf.org/html/rfc62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ca_esv=c5f02fd2b2be415a&amp;rlz=1C1GCEA_enUA1059UA1059&amp;q=FortiAuthenticator&amp;spell=1&amp;sa=X&amp;ved=2ahUKEwiEodSjxdyEAxUb9AIHHV30AoMQkeECKAB6BAgG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uikt3</dc:creator>
  <cp:keywords/>
  <dc:description/>
  <cp:lastModifiedBy>uikt3</cp:lastModifiedBy>
  <cp:revision>19</cp:revision>
  <cp:lastPrinted>2024-03-12T12:43:00Z</cp:lastPrinted>
  <dcterms:created xsi:type="dcterms:W3CDTF">2024-02-15T07:18:00Z</dcterms:created>
  <dcterms:modified xsi:type="dcterms:W3CDTF">2024-03-15T07:57:00Z</dcterms:modified>
</cp:coreProperties>
</file>