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47600C2C"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EA25B0">
              <w:rPr>
                <w:rFonts w:ascii="Times New Roman" w:eastAsia="Times New Roman" w:hAnsi="Times New Roman" w:cs="Times New Roman"/>
                <w:sz w:val="24"/>
                <w:szCs w:val="24"/>
                <w:lang w:val="uk-UA" w:eastAsia="ru-RU"/>
              </w:rPr>
              <w:t>квітня</w:t>
            </w:r>
            <w:r w:rsidRPr="00916788">
              <w:rPr>
                <w:rFonts w:ascii="Times New Roman" w:eastAsia="Times New Roman" w:hAnsi="Times New Roman" w:cs="Times New Roman"/>
                <w:sz w:val="24"/>
                <w:szCs w:val="24"/>
                <w:lang w:val="uk-UA" w:eastAsia="ru-RU"/>
              </w:rPr>
              <w:t xml:space="preserve">   202</w:t>
            </w:r>
            <w:r w:rsidR="00B52CA1">
              <w:rPr>
                <w:rFonts w:ascii="Times New Roman" w:eastAsia="Times New Roman" w:hAnsi="Times New Roman" w:cs="Times New Roman"/>
                <w:sz w:val="24"/>
                <w:szCs w:val="24"/>
                <w:lang w:val="uk-UA" w:eastAsia="ru-RU"/>
              </w:rPr>
              <w:t>4</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70313737" w14:textId="6DD4C05B" w:rsidR="007B5556" w:rsidRDefault="00A47AA3" w:rsidP="00B5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F25195" w:rsidRPr="00F25195">
        <w:rPr>
          <w:rFonts w:ascii="Times New Roman" w:eastAsia="Times New Roman" w:hAnsi="Times New Roman" w:cs="Times New Roman"/>
          <w:b/>
          <w:i/>
          <w:iCs/>
          <w:sz w:val="28"/>
          <w:szCs w:val="28"/>
          <w:u w:val="single"/>
          <w:lang w:val="uk-UA" w:eastAsia="ru-RU"/>
        </w:rPr>
        <w:t>48810000-9</w:t>
      </w:r>
      <w:r w:rsidR="00F25195" w:rsidRPr="00F25195">
        <w:rPr>
          <w:rFonts w:ascii="Times New Roman" w:eastAsia="Times New Roman" w:hAnsi="Times New Roman" w:cs="Times New Roman"/>
          <w:b/>
          <w:i/>
          <w:iCs/>
          <w:sz w:val="28"/>
          <w:szCs w:val="28"/>
          <w:u w:val="single"/>
          <w:lang w:val="uk-UA" w:eastAsia="ru-RU"/>
        </w:rPr>
        <w:tab/>
        <w:t>Інформаційні системи Єдиний закупівельний словник ДК 021:2015 (Послуги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59E52448"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6ADB4D9" w14:textId="362C0172"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5140407D" w14:textId="5CA170CF"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3871A30B" w14:textId="605113C9"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2170FD4F" w14:textId="5257E53B" w:rsidR="00B52CA1"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1101F455" w14:textId="77777777" w:rsidR="00B52CA1" w:rsidRPr="006A3A7B" w:rsidRDefault="00B52CA1"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51058983"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B52CA1">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F25195"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CE51F0D" w:rsidR="00A47AA3" w:rsidRPr="006A3A7B" w:rsidRDefault="00F25195"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F25195">
              <w:rPr>
                <w:rFonts w:ascii="Times New Roman" w:eastAsia="Times New Roman" w:hAnsi="Times New Roman" w:cs="Times New Roman"/>
                <w:b/>
                <w:i/>
                <w:iCs/>
                <w:u w:val="single"/>
                <w:lang w:val="uk-UA" w:eastAsia="ru-RU"/>
              </w:rPr>
              <w:t>48810000-9</w:t>
            </w:r>
            <w:r w:rsidRPr="00F25195">
              <w:rPr>
                <w:rFonts w:ascii="Times New Roman" w:eastAsia="Times New Roman" w:hAnsi="Times New Roman" w:cs="Times New Roman"/>
                <w:b/>
                <w:i/>
                <w:iCs/>
                <w:u w:val="single"/>
                <w:lang w:val="uk-UA" w:eastAsia="ru-RU"/>
              </w:rPr>
              <w:tab/>
              <w:t xml:space="preserve">Інформаційні системи </w:t>
            </w:r>
            <w:r w:rsidRPr="00F25195">
              <w:rPr>
                <w:rFonts w:ascii="Times New Roman" w:eastAsia="Times New Roman" w:hAnsi="Times New Roman" w:cs="Times New Roman"/>
                <w:b/>
                <w:i/>
                <w:u w:val="single"/>
                <w:lang w:val="uk-UA" w:eastAsia="ru-RU"/>
              </w:rPr>
              <w:t>Єдиний закупівельний словник ДК 021:2015 (</w:t>
            </w:r>
            <w:r w:rsidRPr="00F25195">
              <w:rPr>
                <w:rFonts w:ascii="Times New Roman" w:eastAsia="Times New Roman" w:hAnsi="Times New Roman" w:cs="Times New Roman"/>
                <w:b/>
                <w:i/>
                <w:iCs/>
                <w:u w:val="single"/>
                <w:lang w:val="uk-UA" w:eastAsia="ru-RU"/>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F294D4" w14:textId="77777777" w:rsidR="00F25195" w:rsidRDefault="00A47AA3" w:rsidP="00F2519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CE188D">
              <w:rPr>
                <w:rFonts w:ascii="Times New Roman" w:hAnsi="Times New Roman" w:cs="Times New Roman"/>
                <w:lang w:val="uk-UA"/>
              </w:rPr>
              <w:t>надання послуг</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F25195" w:rsidRPr="00807C91">
              <w:rPr>
                <w:rFonts w:ascii="Times New Roman" w:eastAsia="Times New Roman" w:hAnsi="Times New Roman" w:cs="Times New Roman"/>
                <w:b/>
                <w:bCs/>
                <w:i/>
                <w:color w:val="000000"/>
                <w:u w:val="single"/>
                <w:lang w:val="uk-UA" w:eastAsia="uk-UA"/>
              </w:rPr>
              <w:t xml:space="preserve">65000, Україна, Одеса, </w:t>
            </w:r>
            <w:proofErr w:type="spellStart"/>
            <w:r w:rsidR="00F25195" w:rsidRPr="00807C91">
              <w:rPr>
                <w:rFonts w:ascii="Times New Roman" w:eastAsia="Times New Roman" w:hAnsi="Times New Roman" w:cs="Times New Roman"/>
                <w:b/>
                <w:bCs/>
                <w:i/>
                <w:color w:val="000000"/>
                <w:u w:val="single"/>
                <w:lang w:val="uk-UA" w:eastAsia="uk-UA"/>
              </w:rPr>
              <w:t>вул.Пастера</w:t>
            </w:r>
            <w:proofErr w:type="spellEnd"/>
            <w:r w:rsidR="00F25195" w:rsidRPr="00807C91">
              <w:rPr>
                <w:rFonts w:ascii="Times New Roman" w:eastAsia="Times New Roman" w:hAnsi="Times New Roman" w:cs="Times New Roman"/>
                <w:b/>
                <w:bCs/>
                <w:i/>
                <w:color w:val="000000"/>
                <w:u w:val="single"/>
                <w:lang w:val="uk-UA" w:eastAsia="uk-UA"/>
              </w:rPr>
              <w:t xml:space="preserve">, 9; </w:t>
            </w:r>
            <w:proofErr w:type="spellStart"/>
            <w:r w:rsidR="00F25195" w:rsidRPr="00807C91">
              <w:rPr>
                <w:rFonts w:ascii="Times New Roman" w:eastAsia="Times New Roman" w:hAnsi="Times New Roman" w:cs="Times New Roman"/>
                <w:b/>
                <w:bCs/>
                <w:i/>
                <w:color w:val="000000"/>
                <w:u w:val="single"/>
                <w:lang w:val="uk-UA" w:eastAsia="uk-UA"/>
              </w:rPr>
              <w:t>вул.Тіниста</w:t>
            </w:r>
            <w:proofErr w:type="spellEnd"/>
            <w:r w:rsidR="00F25195" w:rsidRPr="00807C91">
              <w:rPr>
                <w:rFonts w:ascii="Times New Roman" w:eastAsia="Times New Roman" w:hAnsi="Times New Roman" w:cs="Times New Roman"/>
                <w:b/>
                <w:bCs/>
                <w:i/>
                <w:color w:val="000000"/>
                <w:u w:val="single"/>
                <w:lang w:val="uk-UA" w:eastAsia="uk-UA"/>
              </w:rPr>
              <w:t>, 8</w:t>
            </w:r>
          </w:p>
          <w:p w14:paraId="2710CD9B" w14:textId="67A1F852" w:rsidR="00800D70" w:rsidRPr="006A3A7B" w:rsidRDefault="00F25195" w:rsidP="00F25195">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Pr>
                <w:rFonts w:ascii="Times New Roman" w:hAnsi="Times New Roman" w:cs="Times New Roman"/>
                <w:lang w:val="uk-UA"/>
              </w:rPr>
              <w:t>послуг</w:t>
            </w:r>
            <w:r w:rsidRPr="00A5764F">
              <w:rPr>
                <w:rFonts w:ascii="Times New Roman" w:hAnsi="Times New Roman" w:cs="Times New Roman"/>
                <w:lang w:val="uk-UA"/>
              </w:rPr>
              <w:t xml:space="preserve"> : </w:t>
            </w:r>
            <w:r>
              <w:rPr>
                <w:rFonts w:ascii="Times New Roman" w:hAnsi="Times New Roman" w:cs="Times New Roman"/>
                <w:b/>
                <w:bCs/>
                <w:i/>
                <w:u w:val="single"/>
                <w:lang w:val="uk-UA"/>
              </w:rPr>
              <w:t>428 послуг</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2493B866" w:rsidR="00A47AA3" w:rsidRPr="006A3A7B" w:rsidRDefault="0073119C" w:rsidP="00F25195">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w:t>
            </w:r>
            <w:r w:rsidR="00F25195">
              <w:rPr>
                <w:rFonts w:ascii="Times New Roman" w:hAnsi="Times New Roman" w:cs="Times New Roman"/>
                <w:b/>
                <w:i/>
                <w:u w:val="single"/>
                <w:lang w:val="uk-UA"/>
              </w:rPr>
              <w:t>1</w:t>
            </w:r>
            <w:r w:rsidRPr="0073119C">
              <w:rPr>
                <w:rFonts w:ascii="Times New Roman" w:hAnsi="Times New Roman" w:cs="Times New Roman"/>
                <w:b/>
                <w:i/>
                <w:u w:val="single"/>
                <w:lang w:val="uk-UA"/>
              </w:rPr>
              <w:t>.12. 202</w:t>
            </w:r>
            <w:r w:rsidR="00B52CA1">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EA25B0"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2D15018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B52CA1">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2A6298B7"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B52CA1">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A25B0"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A25B0"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A25B0"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115753A9" w14:textId="77777777" w:rsidR="00714636" w:rsidRDefault="001966B6" w:rsidP="00714636">
            <w:pPr>
              <w:widowControl w:val="0"/>
              <w:contextualSpacing/>
              <w:jc w:val="both"/>
              <w:rPr>
                <w:rFonts w:ascii="Times New Roman" w:eastAsia="Times New Roman" w:hAnsi="Times New Roman" w:cs="Times New Roman"/>
                <w:lang w:val="uk-UA" w:eastAsia="uk-UA"/>
              </w:rPr>
            </w:pPr>
            <w:r w:rsidRPr="00D37FDA">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714636">
              <w:rPr>
                <w:rFonts w:ascii="Times New Roman" w:eastAsia="Times New Roman" w:hAnsi="Times New Roman" w:cs="Times New Roman"/>
                <w:lang w:val="uk-UA" w:eastAsia="uk-UA"/>
              </w:rPr>
              <w:t>.</w:t>
            </w:r>
          </w:p>
          <w:p w14:paraId="704ACA14" w14:textId="744EE295" w:rsidR="009A4E4E" w:rsidRPr="006A3A7B" w:rsidRDefault="001966B6" w:rsidP="00714636">
            <w:pPr>
              <w:widowControl w:val="0"/>
              <w:contextualSpacing/>
              <w:jc w:val="both"/>
              <w:rPr>
                <w:rFonts w:ascii="Times New Roman" w:eastAsia="Times New Roman" w:hAnsi="Times New Roman" w:cs="Times New Roman"/>
                <w:lang w:val="uk-UA" w:eastAsia="ru-RU"/>
              </w:rPr>
            </w:pPr>
            <w:r w:rsidRPr="00D37FDA">
              <w:rPr>
                <w:rFonts w:ascii="Times New Roman" w:hAnsi="Times New Roman" w:cs="Times New Roman"/>
                <w:lang w:val="uk-UA"/>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у довільній формі на фірмовому бланку за підписом керівника підприємства - учасника про намір виконувати всі роботи самостійно або залучити субпідрядні організації в обсязі, що не перевищує 20 відсотків від вартості договору про закупівлю.</w:t>
            </w:r>
          </w:p>
        </w:tc>
      </w:tr>
      <w:tr w:rsidR="00E13716" w:rsidRPr="00EA25B0"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013ABB4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25195">
              <w:rPr>
                <w:rFonts w:ascii="Times New Roman" w:eastAsia="Times New Roman" w:hAnsi="Times New Roman" w:cs="Times New Roman"/>
                <w:b/>
                <w:highlight w:val="yellow"/>
                <w:lang w:val="uk-UA" w:eastAsia="ru-RU"/>
              </w:rPr>
              <w:t>9</w:t>
            </w:r>
            <w:r w:rsidRPr="0008475B">
              <w:rPr>
                <w:rFonts w:ascii="Times New Roman" w:eastAsia="Times New Roman" w:hAnsi="Times New Roman" w:cs="Times New Roman"/>
                <w:b/>
                <w:highlight w:val="yellow"/>
                <w:lang w:val="uk-UA" w:eastAsia="ru-RU"/>
              </w:rPr>
              <w:t xml:space="preserve"> </w:t>
            </w:r>
            <w:r w:rsidR="00EA25B0">
              <w:rPr>
                <w:rFonts w:ascii="Times New Roman" w:eastAsia="Times New Roman" w:hAnsi="Times New Roman" w:cs="Times New Roman"/>
                <w:b/>
                <w:highlight w:val="yellow"/>
                <w:lang w:val="uk-UA" w:eastAsia="ru-RU"/>
              </w:rPr>
              <w:t>квітня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B52CA1">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w:t>
            </w:r>
            <w:bookmarkStart w:id="3" w:name="_GoBack"/>
            <w:bookmarkEnd w:id="3"/>
            <w:r w:rsidRPr="006A3A7B">
              <w:rPr>
                <w:rFonts w:ascii="Times New Roman" w:hAnsi="Times New Roman" w:cs="Times New Roman"/>
                <w:lang w:val="uk-UA"/>
              </w:rPr>
              <w:t>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516AB3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B52CA1" w:rsidRPr="00B52CA1">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52CA1" w:rsidRPr="00B52CA1">
              <w:rPr>
                <w:rFonts w:ascii="Times New Roman" w:eastAsia="Times New Roman" w:hAnsi="Times New Roman" w:cs="Times New Roman"/>
                <w:lang w:val="uk-UA" w:eastAsia="ru-RU"/>
              </w:rPr>
              <w:t>бенефіціарним</w:t>
            </w:r>
            <w:proofErr w:type="spellEnd"/>
            <w:r w:rsidR="00B52CA1" w:rsidRPr="00B52CA1">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52CA1" w:rsidRPr="00B52CA1">
              <w:rPr>
                <w:rFonts w:ascii="Times New Roman" w:eastAsia="Times New Roman" w:hAnsi="Times New Roman" w:cs="Times New Roman"/>
                <w:lang w:val="uk-UA" w:eastAsia="ru-RU"/>
              </w:rPr>
              <w:t>закупівель</w:t>
            </w:r>
            <w:proofErr w:type="spellEnd"/>
            <w:r w:rsidR="00B52CA1" w:rsidRPr="00B52CA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52CA1" w:rsidRDefault="00B52CA1" w:rsidP="00126BE7">
      <w:pPr>
        <w:spacing w:after="0" w:line="240" w:lineRule="auto"/>
      </w:pPr>
      <w:r>
        <w:separator/>
      </w:r>
    </w:p>
  </w:endnote>
  <w:endnote w:type="continuationSeparator" w:id="0">
    <w:p w14:paraId="38C5363F" w14:textId="77777777" w:rsidR="00B52CA1" w:rsidRDefault="00B52CA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C3E963C" w:rsidR="00B52CA1" w:rsidRPr="00273EE3" w:rsidRDefault="00B52CA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A25B0">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52CA1" w:rsidRDefault="00B52CA1" w:rsidP="00126BE7">
      <w:pPr>
        <w:spacing w:after="0" w:line="240" w:lineRule="auto"/>
      </w:pPr>
      <w:r>
        <w:separator/>
      </w:r>
    </w:p>
  </w:footnote>
  <w:footnote w:type="continuationSeparator" w:id="0">
    <w:p w14:paraId="670A56FA" w14:textId="77777777" w:rsidR="00B52CA1" w:rsidRDefault="00B52CA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62D59"/>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966B6"/>
    <w:rsid w:val="001A0A59"/>
    <w:rsid w:val="001B3405"/>
    <w:rsid w:val="001B59AA"/>
    <w:rsid w:val="001C190A"/>
    <w:rsid w:val="001C3193"/>
    <w:rsid w:val="001C57A2"/>
    <w:rsid w:val="001C7FB1"/>
    <w:rsid w:val="001D780A"/>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0320C"/>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4636"/>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065D"/>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2CA1"/>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188D"/>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45D"/>
    <w:rsid w:val="00E47574"/>
    <w:rsid w:val="00E50BEB"/>
    <w:rsid w:val="00E5584F"/>
    <w:rsid w:val="00E55E68"/>
    <w:rsid w:val="00E62C01"/>
    <w:rsid w:val="00E7043D"/>
    <w:rsid w:val="00E70C33"/>
    <w:rsid w:val="00E7719B"/>
    <w:rsid w:val="00E820AE"/>
    <w:rsid w:val="00E86C43"/>
    <w:rsid w:val="00E931B6"/>
    <w:rsid w:val="00E958C1"/>
    <w:rsid w:val="00EA25B0"/>
    <w:rsid w:val="00EB01B2"/>
    <w:rsid w:val="00EB10FA"/>
    <w:rsid w:val="00ED233B"/>
    <w:rsid w:val="00ED273F"/>
    <w:rsid w:val="00EE6EE6"/>
    <w:rsid w:val="00EF5792"/>
    <w:rsid w:val="00EF7CAA"/>
    <w:rsid w:val="00F019C8"/>
    <w:rsid w:val="00F14F3B"/>
    <w:rsid w:val="00F25195"/>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A5D4-88D0-43A4-A087-D0F9F91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53045</Words>
  <Characters>30236</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2024-04-01T09:13:00Z</dcterms:modified>
</cp:coreProperties>
</file>