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AA" w:rsidRDefault="004C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122AA" w:rsidRDefault="004C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22AA" w:rsidRDefault="004C3ED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B122AA" w:rsidRDefault="004C3ED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B122AA" w:rsidRDefault="004C3ED7" w:rsidP="00E01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2AA" w:rsidRDefault="004C3ED7" w:rsidP="00E01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122AA" w:rsidRDefault="004C3ED7" w:rsidP="00E01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B122AA" w:rsidRDefault="004C3ED7" w:rsidP="00E01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B122AA" w:rsidRDefault="004C3ED7" w:rsidP="00E01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2AA" w:rsidRDefault="004C3ED7" w:rsidP="00E01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5265"/>
      </w:tblGrid>
      <w:tr w:rsidR="00B122A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B122A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9957D2" w:rsidP="00995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4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Газове паливо</w:t>
            </w:r>
          </w:p>
        </w:tc>
      </w:tr>
      <w:tr w:rsidR="00B122A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943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</w:rPr>
              <w:t>0912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</w:rPr>
              <w:t>000-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957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Газове паливо</w:t>
            </w:r>
          </w:p>
        </w:tc>
      </w:tr>
      <w:tr w:rsidR="00B122A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2AA" w:rsidRPr="0037282B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7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(тис</w:t>
            </w:r>
            <w:proofErr w:type="gramStart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уб.м.)</w:t>
            </w:r>
          </w:p>
          <w:p w:rsidR="00B122AA" w:rsidRDefault="00B1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2A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Pr="00E01FF0" w:rsidRDefault="000D75E0" w:rsidP="0004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bookmarkStart w:id="1" w:name="_GoBack"/>
            <w:bookmarkEnd w:id="1"/>
            <w:r w:rsidRPr="00CA1C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E01FF0" w:rsidRPr="00CA1C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FF0" w:rsidRPr="00CA1C79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куб.м.</w:t>
            </w:r>
          </w:p>
        </w:tc>
      </w:tr>
      <w:tr w:rsidR="00B122A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45" w:rsidRPr="00290CA1" w:rsidRDefault="00F56245" w:rsidP="00F56245">
            <w:pPr>
              <w:widowControl w:val="0"/>
              <w:ind w:left="0" w:hanging="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1BF3">
              <w:rPr>
                <w:rFonts w:ascii="Times New Roman" w:eastAsia="Times New Roman" w:hAnsi="Times New Roman"/>
                <w:sz w:val="24"/>
                <w:szCs w:val="24"/>
              </w:rPr>
              <w:t>Місце</w:t>
            </w:r>
            <w:proofErr w:type="spellEnd"/>
            <w:r w:rsidRPr="0079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6FF8">
              <w:rPr>
                <w:rFonts w:ascii="Times New Roman" w:eastAsia="Times New Roman" w:hAnsi="Times New Roman"/>
                <w:sz w:val="24"/>
                <w:szCs w:val="24"/>
              </w:rPr>
              <w:t>поставки: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адміністрація</w:t>
            </w:r>
            <w:proofErr w:type="spellEnd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об’єкти</w:t>
            </w:r>
            <w:proofErr w:type="spellEnd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знаходяться</w:t>
            </w:r>
            <w:proofErr w:type="spellEnd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ідпорядкуванні</w:t>
            </w:r>
            <w:proofErr w:type="spellEnd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FF2"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 w:rsidR="00290CA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B122AA" w:rsidRPr="00943D0E" w:rsidRDefault="00B1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2A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2AA" w:rsidRDefault="004C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2AA" w:rsidRPr="0037282B" w:rsidRDefault="009957D2" w:rsidP="00E0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4C3ED7"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01FF0" w:rsidRPr="003728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3ED7"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ED7"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="004C3ED7" w:rsidRPr="0037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122AA" w:rsidRDefault="00B122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2AA" w:rsidRDefault="004C3ED7" w:rsidP="00E01FF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2AA" w:rsidRDefault="004C3ED7" w:rsidP="00E01FF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B122AA" w:rsidRDefault="004C3ED7" w:rsidP="00E01FF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B122AA" w:rsidRDefault="004C3ED7" w:rsidP="00E01FF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B122AA" w:rsidRDefault="004C3ED7" w:rsidP="00E01FF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B122AA" w:rsidRDefault="004C3ED7" w:rsidP="00E01FF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B122AA" w:rsidRDefault="004C3ED7" w:rsidP="00E01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122AA" w:rsidRDefault="004C3ED7" w:rsidP="00E01FF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B122AA" w:rsidRDefault="004C3ED7" w:rsidP="00E01FF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B122AA" w:rsidRDefault="004C3ED7" w:rsidP="00E01FF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22AA" w:rsidRDefault="004C3ED7" w:rsidP="00E01FF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B122AA" w:rsidRDefault="004C3ED7" w:rsidP="00E01FF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B122AA" w:rsidRDefault="004C3ED7" w:rsidP="00E01FF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122AA" w:rsidRDefault="004C3ED7" w:rsidP="004C3ED7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B122AA" w:rsidRDefault="004C3ED7" w:rsidP="00E01FF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122AA" w:rsidRDefault="004C3ED7" w:rsidP="00E01FF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proofErr w:type="gramEnd"/>
    </w:p>
    <w:p w:rsidR="00B122AA" w:rsidRDefault="00B122AA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B122AA" w:rsidSect="00B122AA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8E1"/>
    <w:multiLevelType w:val="multilevel"/>
    <w:tmpl w:val="A5D09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8250B9"/>
    <w:multiLevelType w:val="multilevel"/>
    <w:tmpl w:val="1C8ED6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22AA"/>
    <w:rsid w:val="000441D1"/>
    <w:rsid w:val="00044941"/>
    <w:rsid w:val="000D75E0"/>
    <w:rsid w:val="00112FFE"/>
    <w:rsid w:val="00290CA1"/>
    <w:rsid w:val="00334385"/>
    <w:rsid w:val="0037282B"/>
    <w:rsid w:val="004B5333"/>
    <w:rsid w:val="004C3ED7"/>
    <w:rsid w:val="00521AD0"/>
    <w:rsid w:val="007D5DF1"/>
    <w:rsid w:val="00821FCC"/>
    <w:rsid w:val="008D7AAF"/>
    <w:rsid w:val="00943D0E"/>
    <w:rsid w:val="009957D2"/>
    <w:rsid w:val="00B122AA"/>
    <w:rsid w:val="00BB4564"/>
    <w:rsid w:val="00C06D24"/>
    <w:rsid w:val="00CA1C79"/>
    <w:rsid w:val="00CD5FF2"/>
    <w:rsid w:val="00D5617B"/>
    <w:rsid w:val="00DB4050"/>
    <w:rsid w:val="00DD59A3"/>
    <w:rsid w:val="00E01FF0"/>
    <w:rsid w:val="00E9687A"/>
    <w:rsid w:val="00F5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2AA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B122A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B122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22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22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122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122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2AA"/>
  </w:style>
  <w:style w:type="table" w:customStyle="1" w:styleId="TableNormal">
    <w:name w:val="Table Normal"/>
    <w:rsid w:val="00B122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22A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0">
    <w:name w:val="Обычный2"/>
    <w:rsid w:val="00B122AA"/>
  </w:style>
  <w:style w:type="table" w:customStyle="1" w:styleId="TableNormal0">
    <w:name w:val="Table Normal"/>
    <w:rsid w:val="00B122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122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rsid w:val="00B122A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B122A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B122A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B122AA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B122AA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B122A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sid w:val="00B122A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B122A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;Список уровня 2"/>
    <w:basedOn w:val="a"/>
    <w:rsid w:val="00B122AA"/>
    <w:pPr>
      <w:ind w:left="720"/>
      <w:contextualSpacing/>
    </w:pPr>
  </w:style>
  <w:style w:type="character" w:customStyle="1" w:styleId="22">
    <w:name w:val="Абзац списка Знак;Список уровня 2 Знак"/>
    <w:rsid w:val="00B122AA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B122AA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B1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B122A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2">
    <w:name w:val="Заголовок 1 Знак"/>
    <w:rsid w:val="00B122AA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3">
    <w:name w:val="Обычный1"/>
    <w:rsid w:val="00B122AA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20"/>
    <w:next w:val="20"/>
    <w:rsid w:val="00B122A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B122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B122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B122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5</cp:revision>
  <dcterms:created xsi:type="dcterms:W3CDTF">2023-11-27T07:47:00Z</dcterms:created>
  <dcterms:modified xsi:type="dcterms:W3CDTF">2023-11-27T09:37:00Z</dcterms:modified>
</cp:coreProperties>
</file>