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534817" w:rsidRDefault="00E34103" w:rsidP="00E34103">
      <w:pPr>
        <w:tabs>
          <w:tab w:val="left" w:pos="4219"/>
          <w:tab w:val="left" w:pos="8490"/>
        </w:tabs>
        <w:ind w:left="5400" w:hanging="540"/>
        <w:rPr>
          <w:b/>
          <w:bCs/>
          <w:color w:val="000000" w:themeColor="text1"/>
          <w:sz w:val="28"/>
          <w:szCs w:val="28"/>
        </w:rPr>
      </w:pPr>
      <w:r w:rsidRPr="00534817">
        <w:rPr>
          <w:b/>
          <w:bCs/>
          <w:color w:val="000000" w:themeColor="text1"/>
          <w:sz w:val="28"/>
          <w:szCs w:val="28"/>
        </w:rPr>
        <w:t xml:space="preserve">від </w:t>
      </w:r>
      <w:r w:rsidR="00D02CAC" w:rsidRPr="00D02CAC">
        <w:rPr>
          <w:b/>
          <w:bCs/>
          <w:color w:val="000000" w:themeColor="text1"/>
          <w:sz w:val="28"/>
          <w:szCs w:val="28"/>
        </w:rPr>
        <w:t>19.10.</w:t>
      </w:r>
      <w:r w:rsidR="00E94AA2" w:rsidRPr="00D02CAC">
        <w:rPr>
          <w:b/>
          <w:bCs/>
          <w:color w:val="000000" w:themeColor="text1"/>
          <w:sz w:val="28"/>
          <w:szCs w:val="28"/>
        </w:rPr>
        <w:t>2023</w:t>
      </w:r>
      <w:r w:rsidRPr="00D02CAC">
        <w:rPr>
          <w:b/>
          <w:bCs/>
          <w:color w:val="000000" w:themeColor="text1"/>
          <w:sz w:val="28"/>
          <w:szCs w:val="28"/>
        </w:rPr>
        <w:t xml:space="preserve"> року № </w:t>
      </w:r>
      <w:r w:rsidR="00D02CAC" w:rsidRPr="00D02CAC">
        <w:rPr>
          <w:b/>
          <w:bCs/>
          <w:color w:val="000000" w:themeColor="text1"/>
          <w:sz w:val="28"/>
          <w:szCs w:val="28"/>
        </w:rPr>
        <w:t>140</w:t>
      </w:r>
    </w:p>
    <w:p w:rsidR="00E34103" w:rsidRPr="00534817" w:rsidRDefault="00E34103" w:rsidP="00E34103">
      <w:pPr>
        <w:ind w:left="320"/>
        <w:rPr>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Pr="00534817" w:rsidRDefault="00722C6E"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D534B9" w:rsidRPr="00D02CAC" w:rsidRDefault="00637692" w:rsidP="00235F8D">
      <w:pPr>
        <w:jc w:val="center"/>
        <w:rPr>
          <w:b/>
          <w:sz w:val="32"/>
          <w:szCs w:val="32"/>
        </w:rPr>
      </w:pPr>
      <w:r w:rsidRPr="00D02CAC">
        <w:rPr>
          <w:b/>
          <w:color w:val="000000"/>
          <w:sz w:val="32"/>
          <w:szCs w:val="32"/>
        </w:rPr>
        <w:t>Захищені носії інформації</w:t>
      </w:r>
      <w:r w:rsidRPr="00D02CAC">
        <w:rPr>
          <w:b/>
          <w:sz w:val="32"/>
          <w:szCs w:val="32"/>
        </w:rPr>
        <w:t xml:space="preserve"> </w:t>
      </w:r>
      <w:hyperlink r:id="rId8" w:history="1"/>
    </w:p>
    <w:p w:rsidR="00D534B9" w:rsidRPr="0005137F" w:rsidRDefault="00D534B9" w:rsidP="00235F8D">
      <w:pPr>
        <w:jc w:val="center"/>
        <w:rPr>
          <w:color w:val="000000"/>
          <w:sz w:val="32"/>
          <w:szCs w:val="32"/>
        </w:rPr>
      </w:pPr>
      <w:r w:rsidRPr="00D02CAC">
        <w:rPr>
          <w:color w:val="000000"/>
          <w:sz w:val="32"/>
          <w:szCs w:val="32"/>
        </w:rPr>
        <w:t xml:space="preserve">(ДК 021:2015(СРV) </w:t>
      </w:r>
      <w:r w:rsidR="00637692" w:rsidRPr="00D02CAC">
        <w:rPr>
          <w:color w:val="000000"/>
          <w:sz w:val="32"/>
          <w:szCs w:val="32"/>
        </w:rPr>
        <w:t>3258</w:t>
      </w:r>
      <w:r w:rsidRPr="00D02CAC">
        <w:rPr>
          <w:color w:val="000000"/>
          <w:sz w:val="32"/>
          <w:szCs w:val="32"/>
        </w:rPr>
        <w:t>0000-</w:t>
      </w:r>
      <w:r w:rsidR="00637692" w:rsidRPr="00D02CAC">
        <w:rPr>
          <w:color w:val="000000"/>
          <w:sz w:val="32"/>
          <w:szCs w:val="32"/>
        </w:rPr>
        <w:t>2</w:t>
      </w:r>
      <w:r w:rsidRPr="00D02CAC">
        <w:rPr>
          <w:sz w:val="32"/>
          <w:szCs w:val="32"/>
        </w:rPr>
        <w:t xml:space="preserve"> </w:t>
      </w:r>
      <w:r w:rsidR="0001076E" w:rsidRPr="00D02CAC">
        <w:rPr>
          <w:sz w:val="32"/>
          <w:szCs w:val="32"/>
        </w:rPr>
        <w:t>Інформаційне обладнання</w:t>
      </w:r>
      <w:r w:rsidRPr="00D02CAC">
        <w:rPr>
          <w:sz w:val="32"/>
          <w:szCs w:val="32"/>
        </w:rPr>
        <w:t>)</w:t>
      </w:r>
      <w:r w:rsidRPr="0005137F">
        <w:rPr>
          <w:color w:val="000000"/>
          <w:sz w:val="32"/>
          <w:szCs w:val="32"/>
        </w:rPr>
        <w:t xml:space="preserve"> </w:t>
      </w:r>
    </w:p>
    <w:p w:rsidR="00235F8D" w:rsidRPr="00534817" w:rsidRDefault="00D534B9" w:rsidP="00235F8D">
      <w:pPr>
        <w:jc w:val="center"/>
        <w:rPr>
          <w:b/>
          <w:sz w:val="32"/>
          <w:szCs w:val="32"/>
        </w:rPr>
      </w:pPr>
      <w:r>
        <w:rPr>
          <w:color w:val="000000"/>
          <w:sz w:val="32"/>
          <w:szCs w:val="32"/>
        </w:rPr>
        <w:t xml:space="preserve"> </w:t>
      </w: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235F8D" w:rsidRDefault="00235F8D" w:rsidP="00E34103">
      <w:pPr>
        <w:jc w:val="center"/>
        <w:outlineLvl w:val="0"/>
        <w:rPr>
          <w:b/>
          <w:sz w:val="28"/>
        </w:rPr>
      </w:pPr>
    </w:p>
    <w:p w:rsidR="00D534B9" w:rsidRPr="00534817" w:rsidRDefault="00D534B9"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9"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10"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6F5A41" w:rsidRDefault="00840D9C" w:rsidP="00840D9C">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з технічних питань:</w:t>
            </w:r>
            <w:r w:rsidRPr="006F5A41">
              <w:rPr>
                <w:rFonts w:ascii="Times New Roman" w:hAnsi="Times New Roman"/>
                <w:sz w:val="24"/>
                <w:szCs w:val="24"/>
                <w:lang w:eastAsia="uk-UA"/>
              </w:rPr>
              <w:t xml:space="preserve"> </w:t>
            </w:r>
            <w:r w:rsidR="00D534B9" w:rsidRPr="0001076E">
              <w:rPr>
                <w:rFonts w:ascii="Times New Roman" w:hAnsi="Times New Roman"/>
                <w:color w:val="000000"/>
                <w:sz w:val="24"/>
                <w:szCs w:val="24"/>
              </w:rPr>
              <w:t>Шпаковський Руслан Анатолійович – заступник начальника управління – начальник відділу адміністрування інформаційних систем управління інформаційних систем та електронних реєстрів тел. (0472) 54-46-42</w:t>
            </w:r>
            <w:r w:rsidRPr="006F5A41">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D534B9" w:rsidRPr="00D02CAC" w:rsidRDefault="0001076E" w:rsidP="00D534B9">
            <w:pPr>
              <w:ind w:left="263"/>
              <w:jc w:val="both"/>
              <w:rPr>
                <w:b/>
                <w:sz w:val="24"/>
                <w:szCs w:val="24"/>
              </w:rPr>
            </w:pPr>
            <w:r w:rsidRPr="00D02CAC">
              <w:rPr>
                <w:b/>
                <w:color w:val="000000"/>
                <w:sz w:val="24"/>
                <w:szCs w:val="24"/>
              </w:rPr>
              <w:t>Захищені носії інформації</w:t>
            </w:r>
            <w:r w:rsidRPr="00D02CAC">
              <w:rPr>
                <w:sz w:val="24"/>
                <w:szCs w:val="24"/>
              </w:rPr>
              <w:t xml:space="preserve"> </w:t>
            </w:r>
            <w:hyperlink r:id="rId11" w:history="1"/>
          </w:p>
          <w:p w:rsidR="00E34103" w:rsidRPr="00235F8D" w:rsidRDefault="00D534B9" w:rsidP="00D534B9">
            <w:pPr>
              <w:ind w:left="263"/>
              <w:jc w:val="both"/>
              <w:rPr>
                <w:color w:val="000000"/>
                <w:sz w:val="24"/>
                <w:szCs w:val="24"/>
              </w:rPr>
            </w:pPr>
            <w:r w:rsidRPr="00D02CAC">
              <w:rPr>
                <w:b/>
                <w:color w:val="000000"/>
                <w:sz w:val="24"/>
                <w:szCs w:val="24"/>
              </w:rPr>
              <w:t xml:space="preserve">(ДК 021:2015(СРV) </w:t>
            </w:r>
            <w:r w:rsidR="0001076E" w:rsidRPr="00D02CAC">
              <w:rPr>
                <w:b/>
                <w:color w:val="000000"/>
                <w:sz w:val="24"/>
                <w:szCs w:val="24"/>
              </w:rPr>
              <w:t>32580000-2</w:t>
            </w:r>
            <w:r w:rsidR="0001076E" w:rsidRPr="00D02CAC">
              <w:rPr>
                <w:b/>
                <w:sz w:val="24"/>
                <w:szCs w:val="24"/>
              </w:rPr>
              <w:t xml:space="preserve"> Інформаційне обладнання)</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34817" w:rsidRDefault="00E34103" w:rsidP="00D534B9">
            <w:pPr>
              <w:pStyle w:val="a5"/>
              <w:ind w:left="623"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p w:rsidR="0030251E" w:rsidRPr="00D02CAC" w:rsidRDefault="00235F8D" w:rsidP="00D534B9">
            <w:pPr>
              <w:ind w:left="263"/>
              <w:rPr>
                <w:sz w:val="24"/>
                <w:szCs w:val="24"/>
              </w:rPr>
            </w:pPr>
            <w:r w:rsidRPr="00D02CAC">
              <w:rPr>
                <w:sz w:val="24"/>
                <w:szCs w:val="24"/>
              </w:rPr>
              <w:t>18000, м. Черкаси, вул. Смілянська,</w:t>
            </w:r>
            <w:r w:rsidR="00D534B9" w:rsidRPr="00D02CAC">
              <w:rPr>
                <w:sz w:val="24"/>
                <w:szCs w:val="24"/>
              </w:rPr>
              <w:t xml:space="preserve"> </w:t>
            </w:r>
            <w:r w:rsidRPr="00D02CAC">
              <w:rPr>
                <w:sz w:val="24"/>
                <w:szCs w:val="24"/>
              </w:rPr>
              <w:t>23</w:t>
            </w:r>
            <w:r w:rsidR="00D02CAC" w:rsidRPr="00D02CAC">
              <w:rPr>
                <w:sz w:val="24"/>
                <w:szCs w:val="24"/>
              </w:rPr>
              <w:t>, к. 73 – 30 шт</w:t>
            </w:r>
          </w:p>
          <w:p w:rsidR="00D534B9" w:rsidRPr="00D02CAC" w:rsidRDefault="00D534B9" w:rsidP="00D534B9">
            <w:pPr>
              <w:ind w:left="263"/>
              <w:rPr>
                <w:sz w:val="24"/>
                <w:szCs w:val="24"/>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строк поставки товарів, виконання робіт, надання послуг</w:t>
            </w:r>
          </w:p>
        </w:tc>
        <w:tc>
          <w:tcPr>
            <w:tcW w:w="7899" w:type="dxa"/>
            <w:tcMar>
              <w:left w:w="-7" w:type="dxa"/>
            </w:tcMar>
          </w:tcPr>
          <w:p w:rsidR="0030251E" w:rsidRPr="00D02CAC" w:rsidRDefault="0005137F" w:rsidP="0001076E">
            <w:pPr>
              <w:ind w:left="263" w:right="145"/>
              <w:jc w:val="both"/>
              <w:rPr>
                <w:sz w:val="24"/>
                <w:szCs w:val="24"/>
                <w:lang w:eastAsia="uk-UA"/>
              </w:rPr>
            </w:pPr>
            <w:r w:rsidRPr="00D02CAC">
              <w:rPr>
                <w:sz w:val="24"/>
                <w:szCs w:val="24"/>
              </w:rPr>
              <w:t xml:space="preserve">до </w:t>
            </w:r>
            <w:r w:rsidR="0001076E" w:rsidRPr="00D02CAC">
              <w:rPr>
                <w:sz w:val="24"/>
                <w:szCs w:val="24"/>
              </w:rPr>
              <w:t>15.12</w:t>
            </w:r>
            <w:r w:rsidRPr="00D02CAC">
              <w:rPr>
                <w:sz w:val="24"/>
                <w:szCs w:val="24"/>
              </w:rPr>
              <w:t>.2023</w:t>
            </w:r>
            <w:r w:rsidR="00D02CAC" w:rsidRPr="00D02CAC">
              <w:rPr>
                <w:sz w:val="24"/>
                <w:szCs w:val="24"/>
              </w:rPr>
              <w:t xml:space="preserve"> (включно)</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534817">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lastRenderedPageBreak/>
              <w:t xml:space="preserve">IIІ. Інструкція з підготовки тендерної пропозиції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Зміст та спосіб подання тендерної пропозиції</w:t>
            </w:r>
          </w:p>
          <w:p w:rsidR="0030251E" w:rsidRPr="00534817" w:rsidRDefault="0030251E" w:rsidP="00DB32BE">
            <w:pPr>
              <w:ind w:left="113" w:right="113"/>
              <w:rPr>
                <w:sz w:val="28"/>
                <w:szCs w:val="28"/>
                <w:lang w:eastAsia="uk-UA"/>
              </w:rPr>
            </w:pPr>
          </w:p>
        </w:tc>
        <w:tc>
          <w:tcPr>
            <w:tcW w:w="7899" w:type="dxa"/>
            <w:tcMar>
              <w:left w:w="-7" w:type="dxa"/>
            </w:tcMar>
          </w:tcPr>
          <w:p w:rsidR="006D7482" w:rsidRPr="00A018AD" w:rsidRDefault="006D7482" w:rsidP="008A7A3E">
            <w:pPr>
              <w:ind w:left="121" w:right="130" w:firstLine="284"/>
              <w:contextualSpacing/>
              <w:jc w:val="both"/>
              <w:rPr>
                <w:sz w:val="24"/>
                <w:szCs w:val="24"/>
              </w:rPr>
            </w:pPr>
            <w:r w:rsidRPr="008D2871">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D02CAC" w:rsidRDefault="006D7482" w:rsidP="008A7A3E">
            <w:pPr>
              <w:ind w:left="121" w:right="130" w:firstLine="284"/>
              <w:contextualSpacing/>
              <w:jc w:val="both"/>
              <w:rPr>
                <w:sz w:val="24"/>
                <w:szCs w:val="24"/>
              </w:rPr>
            </w:pPr>
            <w:r w:rsidRPr="008D2871">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w:t>
            </w:r>
            <w:r>
              <w:rPr>
                <w:sz w:val="24"/>
                <w:szCs w:val="24"/>
              </w:rPr>
              <w:t xml:space="preserve">дстав, </w:t>
            </w:r>
            <w:r w:rsidRPr="00D02CAC">
              <w:rPr>
                <w:sz w:val="24"/>
                <w:szCs w:val="24"/>
              </w:rPr>
              <w:t>установлених у пункті 47 Особливостей і в тендерній документації, та шляхом завантаження необхідних файлів з:</w:t>
            </w:r>
          </w:p>
          <w:p w:rsidR="0005137F" w:rsidRPr="00D02CAC" w:rsidRDefault="0005137F" w:rsidP="0005137F">
            <w:pPr>
              <w:widowControl w:val="0"/>
              <w:ind w:left="121" w:right="130" w:firstLine="284"/>
              <w:jc w:val="both"/>
              <w:rPr>
                <w:sz w:val="24"/>
              </w:rPr>
            </w:pPr>
            <w:r w:rsidRPr="00D02CAC">
              <w:rPr>
                <w:sz w:val="24"/>
              </w:rPr>
              <w:t xml:space="preserve">- інформацією та документами, що підтверджують відповідність учасника кваліфікаційним критеріям; </w:t>
            </w:r>
          </w:p>
          <w:p w:rsidR="0005137F" w:rsidRPr="00D02CAC" w:rsidRDefault="0005137F" w:rsidP="0005137F">
            <w:pPr>
              <w:widowControl w:val="0"/>
              <w:ind w:left="121" w:right="130" w:firstLine="284"/>
              <w:jc w:val="both"/>
              <w:rPr>
                <w:sz w:val="24"/>
              </w:rPr>
            </w:pPr>
            <w:r w:rsidRPr="00D02CAC">
              <w:rPr>
                <w:sz w:val="24"/>
              </w:rPr>
              <w:t>- інформацією про необхідні технічні, якісні та кількісні характеристики предмета закупівлі (згідно з Додатком 1 до тендерної документації);</w:t>
            </w:r>
          </w:p>
          <w:p w:rsidR="0005137F" w:rsidRPr="00D02CAC" w:rsidRDefault="0005137F" w:rsidP="0005137F">
            <w:pPr>
              <w:ind w:left="121" w:right="130" w:firstLine="284"/>
              <w:jc w:val="both"/>
              <w:rPr>
                <w:sz w:val="24"/>
              </w:rPr>
            </w:pPr>
            <w:r w:rsidRPr="00D02CAC">
              <w:rPr>
                <w:sz w:val="24"/>
              </w:rPr>
              <w:t>- пропозицією учасника, складеною за формою «Цінова пропозиція» (Додаток 3 до тендерної  документації);</w:t>
            </w:r>
          </w:p>
          <w:p w:rsidR="0005137F" w:rsidRPr="00D02CAC" w:rsidRDefault="0005137F" w:rsidP="0005137F">
            <w:pPr>
              <w:ind w:left="121" w:right="130" w:firstLine="284"/>
              <w:jc w:val="both"/>
              <w:rPr>
                <w:sz w:val="24"/>
              </w:rPr>
            </w:pPr>
            <w:r w:rsidRPr="00D02CAC">
              <w:rPr>
                <w:sz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05137F" w:rsidRPr="00D02CAC" w:rsidRDefault="0005137F" w:rsidP="0005137F">
            <w:pPr>
              <w:ind w:left="121" w:right="130" w:firstLine="284"/>
              <w:jc w:val="both"/>
              <w:rPr>
                <w:sz w:val="24"/>
              </w:rPr>
            </w:pPr>
            <w:r w:rsidRPr="00D02CAC">
              <w:rPr>
                <w:sz w:val="24"/>
              </w:rPr>
              <w:t>-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rsidR="0005137F" w:rsidRPr="00D02CAC" w:rsidRDefault="0005137F" w:rsidP="0005137F">
            <w:pPr>
              <w:tabs>
                <w:tab w:val="left" w:pos="1609"/>
              </w:tabs>
              <w:suppressAutoHyphens/>
              <w:ind w:left="121" w:right="130" w:firstLine="284"/>
              <w:jc w:val="both"/>
              <w:rPr>
                <w:sz w:val="24"/>
              </w:rPr>
            </w:pPr>
            <w:r w:rsidRPr="00D02CAC">
              <w:rPr>
                <w:sz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05137F" w:rsidRPr="00D02CAC" w:rsidRDefault="0005137F" w:rsidP="0005137F">
            <w:pPr>
              <w:tabs>
                <w:tab w:val="left" w:pos="1609"/>
              </w:tabs>
              <w:suppressAutoHyphens/>
              <w:ind w:left="121" w:right="130" w:firstLine="284"/>
              <w:jc w:val="both"/>
              <w:rPr>
                <w:sz w:val="24"/>
              </w:rPr>
            </w:pPr>
            <w:r w:rsidRPr="00D02CAC">
              <w:t xml:space="preserve">- </w:t>
            </w:r>
            <w:r w:rsidRPr="00D02CAC">
              <w:rPr>
                <w:sz w:val="24"/>
              </w:rPr>
              <w:t>листа-згоди з умовами проєкту Договору (Додаток 2 до тендерної документації), довільної форми;</w:t>
            </w:r>
          </w:p>
          <w:p w:rsidR="0005137F" w:rsidRPr="00D02CAC" w:rsidRDefault="0005137F" w:rsidP="0005137F">
            <w:pPr>
              <w:tabs>
                <w:tab w:val="left" w:pos="1609"/>
              </w:tabs>
              <w:suppressAutoHyphens/>
              <w:ind w:left="121" w:right="130" w:firstLine="284"/>
              <w:jc w:val="both"/>
              <w:rPr>
                <w:sz w:val="24"/>
              </w:rPr>
            </w:pPr>
            <w:r w:rsidRPr="00D02CAC">
              <w:rPr>
                <w:sz w:val="24"/>
              </w:rPr>
              <w:t xml:space="preserve">- довідки, складеної в довільній формі, яка містить інформацію про засновника та кінцевого бенефіціарного власника учасника, зокрема: назву юридичної особи, що є засновником учасника, її місцезнаходження та країну реєстрації; прізвище, ім’я по батькові засновника та/або </w:t>
            </w:r>
            <w:r w:rsidRPr="00D02CAC">
              <w:rPr>
                <w:sz w:val="24"/>
              </w:rPr>
              <w:lastRenderedPageBreak/>
              <w:t>кінцевого бенефіціарного власника, адресу його місця проживання та громадянство;</w:t>
            </w:r>
          </w:p>
          <w:p w:rsidR="0005137F" w:rsidRPr="00D02CAC" w:rsidRDefault="0005137F" w:rsidP="0005137F">
            <w:pPr>
              <w:tabs>
                <w:tab w:val="left" w:pos="1609"/>
              </w:tabs>
              <w:suppressAutoHyphens/>
              <w:ind w:left="121" w:right="130" w:firstLine="284"/>
              <w:jc w:val="both"/>
              <w:rPr>
                <w:sz w:val="24"/>
              </w:rPr>
            </w:pPr>
            <w:r w:rsidRPr="00D02CAC">
              <w:rPr>
                <w:sz w:val="24"/>
              </w:rPr>
              <w:t>- інших документів, подання яких передбачено умовами цієї документації.</w:t>
            </w:r>
          </w:p>
          <w:p w:rsidR="00EE006D" w:rsidRPr="00D02CAC" w:rsidRDefault="00EE006D" w:rsidP="008A7A3E">
            <w:pPr>
              <w:tabs>
                <w:tab w:val="left" w:pos="1609"/>
              </w:tabs>
              <w:suppressAutoHyphens/>
              <w:ind w:left="121" w:right="130" w:firstLine="284"/>
              <w:jc w:val="both"/>
              <w:rPr>
                <w:sz w:val="24"/>
                <w:szCs w:val="24"/>
              </w:rPr>
            </w:pPr>
            <w:r w:rsidRPr="00D02CAC">
              <w:rPr>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D02CAC" w:rsidRDefault="00EE006D" w:rsidP="008A7A3E">
            <w:pPr>
              <w:tabs>
                <w:tab w:val="left" w:pos="1609"/>
              </w:tabs>
              <w:suppressAutoHyphens/>
              <w:ind w:left="121" w:right="130" w:firstLine="284"/>
              <w:jc w:val="both"/>
              <w:rPr>
                <w:sz w:val="24"/>
                <w:szCs w:val="24"/>
              </w:rPr>
            </w:pPr>
            <w:r w:rsidRPr="00D02CAC">
              <w:rPr>
                <w:sz w:val="24"/>
                <w:szCs w:val="24"/>
              </w:rPr>
              <w:t xml:space="preserve">  Кожен учасник має право подати тільки одну тендерну пропозицію.</w:t>
            </w:r>
          </w:p>
          <w:p w:rsidR="00EE006D" w:rsidRPr="00A018AD" w:rsidRDefault="00EE006D" w:rsidP="008A7A3E">
            <w:pPr>
              <w:tabs>
                <w:tab w:val="left" w:pos="1609"/>
              </w:tabs>
              <w:suppressAutoHyphens/>
              <w:ind w:left="121" w:right="130" w:firstLine="284"/>
              <w:jc w:val="both"/>
              <w:rPr>
                <w:sz w:val="24"/>
                <w:szCs w:val="24"/>
              </w:rPr>
            </w:pPr>
            <w:r w:rsidRPr="00D02CAC">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w:t>
            </w:r>
            <w:r w:rsidRPr="00A018AD">
              <w:rPr>
                <w:sz w:val="24"/>
                <w:szCs w:val="24"/>
              </w:rPr>
              <w:t>-копій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A018AD" w:rsidRDefault="00177C61" w:rsidP="008A7A3E">
            <w:pPr>
              <w:tabs>
                <w:tab w:val="num" w:pos="173"/>
              </w:tabs>
              <w:ind w:left="121" w:right="130" w:firstLine="284"/>
              <w:jc w:val="both"/>
              <w:rPr>
                <w:sz w:val="24"/>
                <w:szCs w:val="24"/>
              </w:rPr>
            </w:pPr>
            <w:r w:rsidRPr="008D2871">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77C61" w:rsidRPr="00A018AD">
              <w:rPr>
                <w:sz w:val="24"/>
                <w:szCs w:val="24"/>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177C61" w:rsidRPr="008D2871">
              <w:rPr>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8D2871" w:rsidRDefault="00177C61" w:rsidP="008A7A3E">
            <w:pPr>
              <w:ind w:left="121" w:right="130" w:firstLine="284"/>
              <w:jc w:val="both"/>
              <w:rPr>
                <w:sz w:val="24"/>
                <w:szCs w:val="24"/>
              </w:rPr>
            </w:pPr>
            <w:r w:rsidRPr="008D2871">
              <w:rPr>
                <w:sz w:val="24"/>
                <w:szCs w:val="24"/>
              </w:rPr>
              <w:t xml:space="preserve">Замовник перевіряє КЕП/УЕП учасника на сайті центрального засвідчувального органу за посиланням </w:t>
            </w:r>
            <w:hyperlink r:id="rId12" w:history="1">
              <w:r w:rsidRPr="00A018AD">
                <w:t>https://czo.gov.ua/verify</w:t>
              </w:r>
            </w:hyperlink>
          </w:p>
          <w:p w:rsidR="00177C61" w:rsidRPr="00A018AD" w:rsidRDefault="00177C61" w:rsidP="008A7A3E">
            <w:pPr>
              <w:ind w:left="121" w:right="130" w:firstLine="284"/>
              <w:jc w:val="both"/>
              <w:rPr>
                <w:sz w:val="24"/>
                <w:szCs w:val="24"/>
              </w:rPr>
            </w:pPr>
            <w:r w:rsidRPr="008D2871">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A018AD" w:rsidRDefault="00177C61" w:rsidP="008A7A3E">
            <w:pPr>
              <w:spacing w:line="100" w:lineRule="atLeast"/>
              <w:ind w:left="121" w:right="130" w:firstLine="284"/>
              <w:jc w:val="both"/>
              <w:rPr>
                <w:sz w:val="24"/>
                <w:szCs w:val="24"/>
              </w:rPr>
            </w:pPr>
            <w:r w:rsidRPr="008D2871">
              <w:rPr>
                <w:sz w:val="24"/>
                <w:szCs w:val="24"/>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A018AD">
              <w:rPr>
                <w:sz w:val="24"/>
                <w:szCs w:val="24"/>
              </w:rPr>
              <w:t>Для правильного оформлення</w:t>
            </w:r>
            <w:r w:rsidRPr="008D2871">
              <w:rPr>
                <w:sz w:val="24"/>
                <w:szCs w:val="24"/>
              </w:rPr>
              <w:t xml:space="preserve"> тендерної</w:t>
            </w:r>
            <w:r w:rsidRPr="00A018AD">
              <w:rPr>
                <w:sz w:val="24"/>
                <w:szCs w:val="24"/>
              </w:rPr>
              <w:t xml:space="preserve"> пропозиції учасник вивчає всі інструкції, форми, терміни та специфікації, наведені у </w:t>
            </w:r>
            <w:r w:rsidRPr="008D2871">
              <w:rPr>
                <w:sz w:val="24"/>
                <w:szCs w:val="24"/>
              </w:rPr>
              <w:t xml:space="preserve">тендерній </w:t>
            </w:r>
            <w:r w:rsidRPr="00A018AD">
              <w:rPr>
                <w:sz w:val="24"/>
                <w:szCs w:val="24"/>
              </w:rPr>
              <w:lastRenderedPageBreak/>
              <w:t xml:space="preserve">документації. Неспроможність подати всю інформацію, що потребує </w:t>
            </w:r>
            <w:r w:rsidRPr="008D2871">
              <w:rPr>
                <w:sz w:val="24"/>
                <w:szCs w:val="24"/>
              </w:rPr>
              <w:t xml:space="preserve">тендерна </w:t>
            </w:r>
            <w:r w:rsidRPr="00A018AD">
              <w:rPr>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177C61" w:rsidRPr="00A018AD" w:rsidRDefault="00177C61" w:rsidP="008A7A3E">
            <w:pPr>
              <w:spacing w:line="100" w:lineRule="atLeast"/>
              <w:ind w:left="121" w:right="130" w:firstLine="284"/>
              <w:jc w:val="both"/>
              <w:rPr>
                <w:sz w:val="24"/>
                <w:szCs w:val="24"/>
              </w:rPr>
            </w:pPr>
            <w:r w:rsidRPr="008D287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A018AD" w:rsidRDefault="00177C61" w:rsidP="008A7A3E">
            <w:pPr>
              <w:ind w:left="121" w:right="130" w:firstLine="284"/>
              <w:jc w:val="both"/>
              <w:rPr>
                <w:sz w:val="24"/>
                <w:szCs w:val="24"/>
              </w:rPr>
            </w:pPr>
            <w:r w:rsidRPr="008D2871">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A018AD" w:rsidRDefault="00177C61" w:rsidP="008A7A3E">
            <w:pPr>
              <w:widowControl w:val="0"/>
              <w:tabs>
                <w:tab w:val="left" w:pos="177"/>
              </w:tabs>
              <w:autoSpaceDE w:val="0"/>
              <w:ind w:left="121" w:right="130" w:firstLine="284"/>
              <w:jc w:val="both"/>
              <w:rPr>
                <w:sz w:val="24"/>
                <w:szCs w:val="24"/>
              </w:rPr>
            </w:pPr>
            <w:r w:rsidRPr="008D2871">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A018AD" w:rsidRDefault="00177C61" w:rsidP="008A7A3E">
            <w:pPr>
              <w:widowControl w:val="0"/>
              <w:autoSpaceDE w:val="0"/>
              <w:ind w:left="121" w:right="130" w:firstLine="284"/>
              <w:jc w:val="both"/>
              <w:rPr>
                <w:sz w:val="24"/>
                <w:szCs w:val="24"/>
              </w:rPr>
            </w:pPr>
            <w:r w:rsidRPr="008D2871">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A018AD" w:rsidRDefault="00177C61" w:rsidP="008A7A3E">
            <w:pPr>
              <w:ind w:left="121" w:right="130" w:firstLine="284"/>
              <w:jc w:val="both"/>
              <w:rPr>
                <w:sz w:val="24"/>
                <w:szCs w:val="24"/>
              </w:rPr>
            </w:pPr>
            <w:r w:rsidRPr="008D2871">
              <w:rPr>
                <w:sz w:val="24"/>
                <w:szCs w:val="24"/>
              </w:rPr>
              <w:t>Тендерна п</w:t>
            </w:r>
            <w:r w:rsidRPr="00A018AD">
              <w:rPr>
                <w:sz w:val="24"/>
                <w:szCs w:val="24"/>
              </w:rPr>
              <w:t>ропозиція може містити будь-які інші  документи, які бажає надати Учасник.</w:t>
            </w:r>
          </w:p>
          <w:p w:rsidR="00177C61" w:rsidRPr="00A018AD" w:rsidRDefault="00177C61" w:rsidP="008A7A3E">
            <w:pPr>
              <w:spacing w:line="100" w:lineRule="atLeast"/>
              <w:ind w:left="121" w:right="130" w:firstLine="284"/>
              <w:jc w:val="both"/>
              <w:rPr>
                <w:sz w:val="24"/>
                <w:szCs w:val="24"/>
              </w:rPr>
            </w:pPr>
            <w:r w:rsidRPr="00A018AD">
              <w:rPr>
                <w:sz w:val="24"/>
                <w:szCs w:val="24"/>
              </w:rPr>
              <w:t xml:space="preserve">Неподання таких додаткових документів, які не вимагаються </w:t>
            </w:r>
            <w:r w:rsidRPr="008D2871">
              <w:rPr>
                <w:sz w:val="24"/>
                <w:szCs w:val="24"/>
              </w:rPr>
              <w:t xml:space="preserve">тендерною </w:t>
            </w:r>
            <w:r w:rsidRPr="00A018AD">
              <w:rPr>
                <w:sz w:val="24"/>
                <w:szCs w:val="24"/>
              </w:rPr>
              <w:t xml:space="preserve">документацією, не буде розцінено як невідповідність </w:t>
            </w:r>
            <w:r w:rsidRPr="008D2871">
              <w:rPr>
                <w:sz w:val="24"/>
                <w:szCs w:val="24"/>
              </w:rPr>
              <w:t xml:space="preserve">тендерної </w:t>
            </w:r>
            <w:r w:rsidRPr="00A018AD">
              <w:rPr>
                <w:sz w:val="24"/>
                <w:szCs w:val="24"/>
              </w:rPr>
              <w:t xml:space="preserve">пропозиції </w:t>
            </w:r>
            <w:r w:rsidRPr="008D2871">
              <w:rPr>
                <w:sz w:val="24"/>
                <w:szCs w:val="24"/>
              </w:rPr>
              <w:t>тендерній документації</w:t>
            </w:r>
            <w:r w:rsidRPr="00A018AD">
              <w:rPr>
                <w:sz w:val="24"/>
                <w:szCs w:val="24"/>
              </w:rPr>
              <w:t>.</w:t>
            </w:r>
          </w:p>
          <w:p w:rsidR="00177C61" w:rsidRPr="00A018AD" w:rsidRDefault="00177C61" w:rsidP="008A7A3E">
            <w:pPr>
              <w:spacing w:line="100" w:lineRule="atLeast"/>
              <w:ind w:left="121" w:right="130" w:firstLine="284"/>
              <w:jc w:val="both"/>
              <w:rPr>
                <w:sz w:val="24"/>
                <w:szCs w:val="24"/>
              </w:rPr>
            </w:pPr>
            <w:r w:rsidRPr="00A018A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A018AD" w:rsidRDefault="00177C61" w:rsidP="008A7A3E">
            <w:pPr>
              <w:ind w:left="121" w:right="130" w:firstLine="284"/>
              <w:jc w:val="both"/>
              <w:rPr>
                <w:sz w:val="24"/>
                <w:szCs w:val="24"/>
              </w:rPr>
            </w:pPr>
            <w:r w:rsidRPr="00A018AD">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A018AD" w:rsidRDefault="00177C61" w:rsidP="008A7A3E">
            <w:pPr>
              <w:ind w:left="121" w:right="130" w:firstLine="284"/>
              <w:jc w:val="both"/>
              <w:rPr>
                <w:sz w:val="24"/>
                <w:szCs w:val="24"/>
              </w:rPr>
            </w:pPr>
            <w:r w:rsidRPr="00A018AD">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A018AD" w:rsidRDefault="00177C61" w:rsidP="008A7A3E">
            <w:pPr>
              <w:ind w:left="121" w:right="130" w:firstLine="284"/>
              <w:jc w:val="both"/>
              <w:rPr>
                <w:sz w:val="24"/>
                <w:szCs w:val="24"/>
              </w:rPr>
            </w:pPr>
            <w:r w:rsidRPr="008D2871">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До закінчення цього строку замовник має право вимагати від </w:t>
            </w:r>
            <w:r w:rsidRPr="00534817">
              <w:rPr>
                <w:sz w:val="24"/>
                <w:szCs w:val="24"/>
                <w:lang w:eastAsia="uk-UA"/>
              </w:rPr>
              <w:lastRenderedPageBreak/>
              <w:t>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lastRenderedPageBreak/>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177C61" w:rsidRPr="00DD4525" w:rsidRDefault="00177C61" w:rsidP="008A7A3E">
            <w:pPr>
              <w:pStyle w:val="ad"/>
              <w:spacing w:before="0" w:after="0"/>
              <w:ind w:left="121" w:right="130" w:firstLine="284"/>
              <w:contextualSpacing/>
              <w:jc w:val="both"/>
              <w:rPr>
                <w:shd w:val="clear" w:color="auto" w:fill="FFFFFF"/>
                <w:lang w:eastAsia="en-US"/>
              </w:rPr>
            </w:pPr>
            <w:r>
              <w:rPr>
                <w:shd w:val="clear" w:color="auto" w:fill="FFFFFF"/>
                <w:lang w:eastAsia="en-US"/>
              </w:rPr>
              <w:t>Пунктом 48</w:t>
            </w:r>
            <w:r w:rsidRPr="00DD4525">
              <w:rPr>
                <w:shd w:val="clear" w:color="auto" w:fill="FFFFFF"/>
                <w:lang w:eastAsia="en-US"/>
              </w:rPr>
              <w:t xml:space="preserve">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77C61" w:rsidRPr="00DD4525" w:rsidRDefault="00177C61" w:rsidP="008A7A3E">
            <w:pPr>
              <w:pStyle w:val="ad"/>
              <w:spacing w:before="0" w:after="0"/>
              <w:ind w:left="121" w:right="130" w:firstLine="284"/>
              <w:contextualSpacing/>
              <w:jc w:val="both"/>
              <w:rPr>
                <w:b/>
                <w:color w:val="000000"/>
                <w:sz w:val="10"/>
                <w:szCs w:val="10"/>
              </w:rPr>
            </w:pPr>
          </w:p>
          <w:p w:rsidR="00177C61" w:rsidRPr="00DD4525" w:rsidRDefault="00177C61" w:rsidP="008A7A3E">
            <w:pPr>
              <w:pStyle w:val="ad"/>
              <w:spacing w:before="0" w:after="0"/>
              <w:ind w:left="121" w:right="130" w:firstLine="284"/>
              <w:contextualSpacing/>
              <w:jc w:val="both"/>
              <w:rPr>
                <w:b/>
                <w:color w:val="000000"/>
              </w:rPr>
            </w:pPr>
            <w:r w:rsidRPr="004E4284">
              <w:rPr>
                <w:b/>
                <w:color w:val="000000"/>
              </w:rPr>
              <w:t>Під час здійснення цієї закупівлі замовник не застосовує до Учасників кваліфікаційні критерії, визначені статтею 16 Закону.</w:t>
            </w:r>
          </w:p>
          <w:p w:rsidR="00177C61" w:rsidRPr="008D2871" w:rsidRDefault="00177C61" w:rsidP="008A7A3E">
            <w:pPr>
              <w:ind w:left="121" w:right="130" w:firstLine="284"/>
              <w:contextualSpacing/>
              <w:jc w:val="both"/>
              <w:rPr>
                <w:sz w:val="10"/>
                <w:szCs w:val="10"/>
              </w:rPr>
            </w:pPr>
          </w:p>
          <w:p w:rsidR="00177C61" w:rsidRPr="008D2871" w:rsidRDefault="00177C61" w:rsidP="008A7A3E">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3" w:anchor="_blank" w:history="1">
              <w:r w:rsidRPr="008D2871">
                <w:rPr>
                  <w:rStyle w:val="af1"/>
                  <w:color w:val="auto"/>
                  <w:sz w:val="24"/>
                  <w:szCs w:val="24"/>
                </w:rPr>
                <w:t>Законом України</w:t>
              </w:r>
            </w:hyperlink>
            <w:r w:rsidRPr="008D2871">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7C61" w:rsidRPr="008D2871" w:rsidRDefault="00177C61" w:rsidP="008A7A3E">
            <w:pPr>
              <w:ind w:left="121" w:right="130" w:firstLine="284"/>
              <w:contextualSpacing/>
              <w:jc w:val="both"/>
              <w:rPr>
                <w:sz w:val="24"/>
                <w:szCs w:val="24"/>
              </w:rPr>
            </w:pPr>
          </w:p>
          <w:p w:rsidR="00177C61" w:rsidRPr="008D2871" w:rsidRDefault="00177C61" w:rsidP="008A7A3E">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77C61" w:rsidRPr="008D2871" w:rsidRDefault="00177C61" w:rsidP="008A7A3E">
            <w:pPr>
              <w:ind w:left="121" w:right="130" w:firstLine="284"/>
              <w:contextualSpacing/>
              <w:jc w:val="both"/>
              <w:rPr>
                <w:color w:val="FF0000"/>
                <w:sz w:val="24"/>
                <w:szCs w:val="24"/>
                <w:lang w:eastAsia="en-US"/>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D2871">
              <w:rPr>
                <w:rFonts w:ascii="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7C61" w:rsidRPr="008D2871" w:rsidRDefault="00177C61" w:rsidP="008A7A3E">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177C61" w:rsidRPr="008D2871" w:rsidRDefault="00177C61" w:rsidP="008A7A3E">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177C61" w:rsidRPr="008D2871" w:rsidRDefault="00177C61" w:rsidP="008A7A3E">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77C61" w:rsidRPr="008D2871" w:rsidRDefault="00177C61" w:rsidP="008A7A3E">
            <w:pPr>
              <w:ind w:left="121" w:right="130" w:firstLine="284"/>
              <w:jc w:val="both"/>
              <w:rPr>
                <w:sz w:val="24"/>
                <w:szCs w:val="24"/>
              </w:rPr>
            </w:pPr>
          </w:p>
          <w:p w:rsidR="00177C61" w:rsidRPr="008D2871" w:rsidRDefault="00177C61" w:rsidP="008A7A3E">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7C61" w:rsidRPr="008D2871" w:rsidRDefault="00177C61" w:rsidP="008A7A3E">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77C61" w:rsidRPr="008D2871" w:rsidRDefault="00177C61" w:rsidP="008A7A3E">
            <w:pPr>
              <w:pStyle w:val="af5"/>
              <w:widowControl w:val="0"/>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8D2871">
              <w:rPr>
                <w:rFonts w:ascii="Times New Roman" w:hAnsi="Times New Roman" w:cs="Times New Roman"/>
                <w:sz w:val="24"/>
                <w:szCs w:val="24"/>
                <w:lang w:eastAsia="en-US"/>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77C61" w:rsidRPr="008D2871" w:rsidRDefault="00177C61" w:rsidP="008A7A3E">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https://corruptinfo.nazk.gov.ua/reference/getpersonalreference/individual,</w:t>
            </w:r>
          </w:p>
          <w:p w:rsidR="00177C61" w:rsidRPr="008D2871" w:rsidRDefault="00177C61" w:rsidP="008A7A3E">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https://corruptinfo.nazk.gov.ua/reference/getpersonalreference/legal.</w:t>
            </w:r>
          </w:p>
          <w:p w:rsidR="00177C61" w:rsidRPr="008D2871" w:rsidRDefault="00177C61" w:rsidP="008A7A3E">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177C61" w:rsidRPr="008D2871" w:rsidRDefault="00177C61" w:rsidP="008A7A3E">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 xml:space="preserve">Інформація про необхідні технічні, якісні та кількісні характеристики предмета </w:t>
            </w:r>
            <w:r w:rsidRPr="00534817">
              <w:rPr>
                <w:b/>
                <w:color w:val="000000"/>
                <w:sz w:val="24"/>
                <w:szCs w:val="24"/>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lastRenderedPageBreak/>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lastRenderedPageBreak/>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Кінцевий строк подання тендерних пропозиц</w:t>
            </w:r>
            <w:r w:rsidRPr="00D02CAC">
              <w:rPr>
                <w:sz w:val="24"/>
                <w:szCs w:val="24"/>
              </w:rPr>
              <w:t xml:space="preserve">ій </w:t>
            </w:r>
            <w:r w:rsidR="00D02CAC" w:rsidRPr="00D02CAC">
              <w:rPr>
                <w:b/>
                <w:color w:val="000000"/>
                <w:sz w:val="24"/>
                <w:szCs w:val="24"/>
                <w:lang w:val="ru-RU"/>
              </w:rPr>
              <w:t>27.10.</w:t>
            </w:r>
            <w:r w:rsidR="006F5A41" w:rsidRPr="00D02CAC">
              <w:rPr>
                <w:b/>
                <w:color w:val="000000"/>
                <w:sz w:val="24"/>
                <w:szCs w:val="24"/>
              </w:rPr>
              <w:t>2023</w:t>
            </w:r>
            <w:r w:rsidRPr="00D02CAC">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r w:rsidRPr="00534817">
              <w:rPr>
                <w:color w:val="000000"/>
                <w:sz w:val="24"/>
                <w:szCs w:val="24"/>
              </w:rPr>
              <w:lastRenderedPageBreak/>
              <w:t>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lastRenderedPageBreak/>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w:t>
            </w:r>
            <w:r w:rsidRPr="008D2871">
              <w:rPr>
                <w:sz w:val="24"/>
                <w:szCs w:val="24"/>
                <w:highlight w:val="white"/>
                <w:lang w:eastAsia="en-US"/>
              </w:rPr>
              <w:lastRenderedPageBreak/>
              <w:t>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lastRenderedPageBreak/>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lastRenderedPageBreak/>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w:t>
            </w:r>
            <w:r w:rsidRPr="008D2871">
              <w:rPr>
                <w:sz w:val="24"/>
                <w:szCs w:val="24"/>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 xml:space="preserve">Якщо замовником під час розгляду тендерної пропозиції учасника </w:t>
            </w:r>
            <w:r w:rsidRPr="008D2871">
              <w:rPr>
                <w:sz w:val="24"/>
                <w:szCs w:val="24"/>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4"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lastRenderedPageBreak/>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5"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6"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 xml:space="preserve">не відповідає вимогам, установленим у тендерній документації </w:t>
            </w:r>
            <w:r w:rsidRPr="008D2871">
              <w:rPr>
                <w:sz w:val="24"/>
                <w:szCs w:val="24"/>
                <w:lang w:eastAsia="en-US"/>
              </w:rPr>
              <w:lastRenderedPageBreak/>
              <w:t>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8D2871">
                <w:rPr>
                  <w:rStyle w:val="af1"/>
                  <w:color w:val="auto"/>
                  <w:sz w:val="24"/>
                  <w:szCs w:val="24"/>
                  <w:lang w:eastAsia="en-US"/>
                </w:rPr>
                <w:t>підпунктах 3</w:t>
              </w:r>
            </w:hyperlink>
            <w:r w:rsidRPr="008D2871">
              <w:rPr>
                <w:sz w:val="24"/>
                <w:szCs w:val="24"/>
                <w:lang w:eastAsia="en-US"/>
              </w:rPr>
              <w:t>, </w:t>
            </w:r>
            <w:hyperlink r:id="rId18" w:anchor="n620" w:history="1">
              <w:r w:rsidRPr="008D2871">
                <w:rPr>
                  <w:rStyle w:val="af1"/>
                  <w:color w:val="auto"/>
                  <w:sz w:val="24"/>
                  <w:szCs w:val="24"/>
                  <w:lang w:eastAsia="en-US"/>
                </w:rPr>
                <w:t>5</w:t>
              </w:r>
            </w:hyperlink>
            <w:r w:rsidRPr="008D2871">
              <w:rPr>
                <w:sz w:val="24"/>
                <w:szCs w:val="24"/>
                <w:lang w:eastAsia="en-US"/>
              </w:rPr>
              <w:t>, </w:t>
            </w:r>
            <w:hyperlink r:id="rId19" w:anchor="n621" w:history="1">
              <w:r w:rsidRPr="008D2871">
                <w:rPr>
                  <w:rStyle w:val="af1"/>
                  <w:color w:val="auto"/>
                  <w:sz w:val="24"/>
                  <w:szCs w:val="24"/>
                  <w:lang w:eastAsia="en-US"/>
                </w:rPr>
                <w:t>6</w:t>
              </w:r>
            </w:hyperlink>
            <w:r w:rsidRPr="008D2871">
              <w:rPr>
                <w:sz w:val="24"/>
                <w:szCs w:val="24"/>
                <w:lang w:eastAsia="en-US"/>
              </w:rPr>
              <w:t> і </w:t>
            </w:r>
            <w:hyperlink r:id="rId20" w:anchor="n627" w:history="1">
              <w:r w:rsidRPr="008D2871">
                <w:rPr>
                  <w:rStyle w:val="af1"/>
                  <w:color w:val="auto"/>
                  <w:sz w:val="24"/>
                  <w:szCs w:val="24"/>
                  <w:lang w:eastAsia="en-US"/>
                </w:rPr>
                <w:t>12</w:t>
              </w:r>
            </w:hyperlink>
            <w:r w:rsidRPr="008D2871">
              <w:rPr>
                <w:sz w:val="24"/>
                <w:szCs w:val="24"/>
                <w:lang w:eastAsia="en-US"/>
              </w:rPr>
              <w:t> та в </w:t>
            </w:r>
            <w:hyperlink r:id="rId21"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 xml:space="preserve">4) коли здійснення закупівлі стало неможливим внаслідок дії обставин </w:t>
            </w:r>
            <w:r w:rsidRPr="00534817">
              <w:rPr>
                <w:sz w:val="24"/>
                <w:szCs w:val="24"/>
              </w:rPr>
              <w:lastRenderedPageBreak/>
              <w:t>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 Проєкт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7) зміни умов у зв’язку із застосуванням положень частини шостої статті 41 Закону України “Про публічні закупівлі”</w:t>
            </w:r>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t>5. </w:t>
            </w:r>
            <w:r w:rsidRPr="008D2871">
              <w:rPr>
                <w:b/>
                <w:bCs/>
                <w:sz w:val="24"/>
                <w:szCs w:val="24"/>
              </w:rPr>
              <w:t xml:space="preserve">Дії замовника </w:t>
            </w:r>
            <w:r w:rsidRPr="008D2871">
              <w:rPr>
                <w:b/>
                <w:bCs/>
                <w:sz w:val="24"/>
                <w:szCs w:val="24"/>
              </w:rPr>
              <w:lastRenderedPageBreak/>
              <w:t xml:space="preserve">при застосуванні </w:t>
            </w:r>
            <w:hyperlink r:id="rId23"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lastRenderedPageBreak/>
              <w:t xml:space="preserve">У разі відхилення тендерної пропозиції з підстави, </w:t>
            </w:r>
            <w:r w:rsidRPr="008D2871">
              <w:rPr>
                <w:rFonts w:ascii="Times New Roman" w:hAnsi="Times New Roman" w:cs="Times New Roman"/>
                <w:sz w:val="24"/>
                <w:szCs w:val="24"/>
              </w:rPr>
              <w:lastRenderedPageBreak/>
              <w:t>визначеної </w:t>
            </w:r>
            <w:hyperlink r:id="rId24"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5"/>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05" w:rsidRDefault="00C43405" w:rsidP="000A3A4D">
      <w:r>
        <w:separator/>
      </w:r>
    </w:p>
  </w:endnote>
  <w:endnote w:type="continuationSeparator" w:id="1">
    <w:p w:rsidR="00C43405" w:rsidRDefault="00C43405"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05" w:rsidRDefault="00C43405" w:rsidP="000A3A4D">
      <w:r>
        <w:separator/>
      </w:r>
    </w:p>
  </w:footnote>
  <w:footnote w:type="continuationSeparator" w:id="1">
    <w:p w:rsidR="00C43405" w:rsidRDefault="00C43405"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A018AD" w:rsidRDefault="006C43D1">
        <w:pPr>
          <w:pStyle w:val="a7"/>
          <w:jc w:val="center"/>
        </w:pPr>
        <w:r>
          <w:fldChar w:fldCharType="begin"/>
        </w:r>
        <w:r w:rsidR="003A119E">
          <w:instrText xml:space="preserve"> PAGE   \* MERGEFORMAT </w:instrText>
        </w:r>
        <w:r>
          <w:fldChar w:fldCharType="separate"/>
        </w:r>
        <w:r w:rsidR="00D02CAC">
          <w:rPr>
            <w:noProof/>
          </w:rPr>
          <w:t>12</w:t>
        </w:r>
        <w:r>
          <w:fldChar w:fldCharType="end"/>
        </w:r>
      </w:p>
    </w:sdtContent>
  </w:sdt>
  <w:p w:rsidR="00A018AD" w:rsidRDefault="00A01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2">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3">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1"/>
  </w:num>
  <w:num w:numId="3">
    <w:abstractNumId w:val="12"/>
  </w:num>
  <w:num w:numId="4">
    <w:abstractNumId w:val="3"/>
  </w:num>
  <w:num w:numId="5">
    <w:abstractNumId w:val="5"/>
  </w:num>
  <w:num w:numId="6">
    <w:abstractNumId w:val="7"/>
  </w:num>
  <w:num w:numId="7">
    <w:abstractNumId w:val="13"/>
  </w:num>
  <w:num w:numId="8">
    <w:abstractNumId w:val="1"/>
  </w:num>
  <w:num w:numId="9">
    <w:abstractNumId w:val="6"/>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066F9"/>
    <w:rsid w:val="0001076E"/>
    <w:rsid w:val="0005137F"/>
    <w:rsid w:val="000A3A4D"/>
    <w:rsid w:val="000A7EA3"/>
    <w:rsid w:val="000E372A"/>
    <w:rsid w:val="00135960"/>
    <w:rsid w:val="00136668"/>
    <w:rsid w:val="00140C75"/>
    <w:rsid w:val="00147C5B"/>
    <w:rsid w:val="00177C61"/>
    <w:rsid w:val="00182A6E"/>
    <w:rsid w:val="001A36AE"/>
    <w:rsid w:val="001B2BDC"/>
    <w:rsid w:val="001B2D6D"/>
    <w:rsid w:val="001D4709"/>
    <w:rsid w:val="0020040E"/>
    <w:rsid w:val="00204271"/>
    <w:rsid w:val="0021134D"/>
    <w:rsid w:val="00221168"/>
    <w:rsid w:val="00234815"/>
    <w:rsid w:val="00235F8D"/>
    <w:rsid w:val="00243E42"/>
    <w:rsid w:val="002846C3"/>
    <w:rsid w:val="00285470"/>
    <w:rsid w:val="00292158"/>
    <w:rsid w:val="002A29BF"/>
    <w:rsid w:val="002C3B40"/>
    <w:rsid w:val="002C40F5"/>
    <w:rsid w:val="002C6A32"/>
    <w:rsid w:val="002F1888"/>
    <w:rsid w:val="0030007D"/>
    <w:rsid w:val="0030251E"/>
    <w:rsid w:val="00311BD9"/>
    <w:rsid w:val="0033173A"/>
    <w:rsid w:val="00343C43"/>
    <w:rsid w:val="00355A4F"/>
    <w:rsid w:val="00361DA9"/>
    <w:rsid w:val="00384183"/>
    <w:rsid w:val="00396D5D"/>
    <w:rsid w:val="003A119E"/>
    <w:rsid w:val="00473852"/>
    <w:rsid w:val="004757CC"/>
    <w:rsid w:val="00475E21"/>
    <w:rsid w:val="00481482"/>
    <w:rsid w:val="00482F0F"/>
    <w:rsid w:val="00490CDE"/>
    <w:rsid w:val="00521B44"/>
    <w:rsid w:val="00534817"/>
    <w:rsid w:val="00556514"/>
    <w:rsid w:val="00565474"/>
    <w:rsid w:val="00586F09"/>
    <w:rsid w:val="00614FB5"/>
    <w:rsid w:val="00621FF1"/>
    <w:rsid w:val="00637692"/>
    <w:rsid w:val="00657E96"/>
    <w:rsid w:val="00662F01"/>
    <w:rsid w:val="006B5994"/>
    <w:rsid w:val="006C43D1"/>
    <w:rsid w:val="006D7482"/>
    <w:rsid w:val="006F0D8D"/>
    <w:rsid w:val="006F3C12"/>
    <w:rsid w:val="006F4706"/>
    <w:rsid w:val="006F5A41"/>
    <w:rsid w:val="00722C6E"/>
    <w:rsid w:val="00732CDB"/>
    <w:rsid w:val="007A54A2"/>
    <w:rsid w:val="007B0B70"/>
    <w:rsid w:val="007E68B2"/>
    <w:rsid w:val="00840D9C"/>
    <w:rsid w:val="00880636"/>
    <w:rsid w:val="00894639"/>
    <w:rsid w:val="008A433C"/>
    <w:rsid w:val="008A7A3E"/>
    <w:rsid w:val="008B3865"/>
    <w:rsid w:val="008E228C"/>
    <w:rsid w:val="008E305C"/>
    <w:rsid w:val="008F5E94"/>
    <w:rsid w:val="009013AF"/>
    <w:rsid w:val="0098746E"/>
    <w:rsid w:val="009875FD"/>
    <w:rsid w:val="0099766E"/>
    <w:rsid w:val="009A3A9E"/>
    <w:rsid w:val="009C0836"/>
    <w:rsid w:val="00A018AD"/>
    <w:rsid w:val="00A04AE7"/>
    <w:rsid w:val="00A11FBD"/>
    <w:rsid w:val="00A34A21"/>
    <w:rsid w:val="00A3656A"/>
    <w:rsid w:val="00A80A33"/>
    <w:rsid w:val="00A86413"/>
    <w:rsid w:val="00AA293E"/>
    <w:rsid w:val="00AC4962"/>
    <w:rsid w:val="00AF5280"/>
    <w:rsid w:val="00B30599"/>
    <w:rsid w:val="00B31182"/>
    <w:rsid w:val="00B33417"/>
    <w:rsid w:val="00BB439E"/>
    <w:rsid w:val="00BE45F3"/>
    <w:rsid w:val="00BF1CE2"/>
    <w:rsid w:val="00C101FC"/>
    <w:rsid w:val="00C3742E"/>
    <w:rsid w:val="00C43405"/>
    <w:rsid w:val="00C47D1F"/>
    <w:rsid w:val="00CC37AB"/>
    <w:rsid w:val="00CE076C"/>
    <w:rsid w:val="00D02CAC"/>
    <w:rsid w:val="00D23F65"/>
    <w:rsid w:val="00D2696D"/>
    <w:rsid w:val="00D534B9"/>
    <w:rsid w:val="00D763DA"/>
    <w:rsid w:val="00DB0A4E"/>
    <w:rsid w:val="00DB32BE"/>
    <w:rsid w:val="00DB5CB5"/>
    <w:rsid w:val="00DC1063"/>
    <w:rsid w:val="00DD104C"/>
    <w:rsid w:val="00E17B22"/>
    <w:rsid w:val="00E34103"/>
    <w:rsid w:val="00E71FDF"/>
    <w:rsid w:val="00E94AA2"/>
    <w:rsid w:val="00EA2C8B"/>
    <w:rsid w:val="00EB5A46"/>
    <w:rsid w:val="00EB75F7"/>
    <w:rsid w:val="00EC26FE"/>
    <w:rsid w:val="00EE006D"/>
    <w:rsid w:val="00EF2FCA"/>
    <w:rsid w:val="00EF4AC7"/>
    <w:rsid w:val="00EF65A2"/>
    <w:rsid w:val="00F07957"/>
    <w:rsid w:val="00F21991"/>
    <w:rsid w:val="00F27AA1"/>
    <w:rsid w:val="00F84178"/>
    <w:rsid w:val="00F85D41"/>
    <w:rsid w:val="00FB5FEB"/>
    <w:rsid w:val="00FC3A69"/>
    <w:rsid w:val="00FD484F"/>
    <w:rsid w:val="00FD7853"/>
    <w:rsid w:val="00FE14BB"/>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ied.com.ua/ua/g20001355-veb-kamery-dlya"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1087;/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1087;/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fied.com.ua/ua/g20001355-veb-kamery-dlya" TargetMode="External"/><Relationship Id="rId24"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s://zakon.rada.gov.ua/laws/show/1178-2022-&#1087;/print"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43429</Words>
  <Characters>24755</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2023-10-19T12:53:00Z</cp:lastPrinted>
  <dcterms:created xsi:type="dcterms:W3CDTF">2023-09-06T07:58:00Z</dcterms:created>
  <dcterms:modified xsi:type="dcterms:W3CDTF">2023-10-19T12:55:00Z</dcterms:modified>
</cp:coreProperties>
</file>