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3371C72A" w14:textId="65B10A9B" w:rsidR="00D14987" w:rsidRPr="00D14987" w:rsidRDefault="00D14987" w:rsidP="00D14987">
      <w:pPr>
        <w:spacing w:after="0" w:line="240" w:lineRule="auto"/>
        <w:rPr>
          <w:rFonts w:ascii="Times New Roman" w:hAnsi="Times New Roman"/>
          <w:b/>
          <w:sz w:val="20"/>
          <w:szCs w:val="20"/>
          <w:lang w:val="ru-RU"/>
        </w:rPr>
      </w:pPr>
      <w:r>
        <w:rPr>
          <w:rFonts w:ascii="Times New Roman" w:hAnsi="Times New Roman"/>
          <w:sz w:val="20"/>
          <w:szCs w:val="20"/>
        </w:rPr>
        <w:t xml:space="preserve">                                                    </w:t>
      </w:r>
      <w:proofErr w:type="spellStart"/>
      <w:r w:rsidRPr="00D14987">
        <w:rPr>
          <w:rFonts w:ascii="Times New Roman" w:hAnsi="Times New Roman"/>
          <w:b/>
          <w:sz w:val="20"/>
          <w:szCs w:val="20"/>
          <w:lang w:val="ru-RU"/>
        </w:rPr>
        <w:t>Сіль</w:t>
      </w:r>
      <w:proofErr w:type="spellEnd"/>
      <w:r w:rsidRPr="00D14987">
        <w:rPr>
          <w:rFonts w:ascii="Times New Roman" w:hAnsi="Times New Roman"/>
          <w:b/>
          <w:sz w:val="20"/>
          <w:szCs w:val="20"/>
          <w:lang w:val="ru-RU"/>
        </w:rPr>
        <w:t xml:space="preserve"> </w:t>
      </w:r>
      <w:proofErr w:type="spellStart"/>
      <w:r w:rsidRPr="00D14987">
        <w:rPr>
          <w:rFonts w:ascii="Times New Roman" w:hAnsi="Times New Roman"/>
          <w:b/>
          <w:sz w:val="20"/>
          <w:szCs w:val="20"/>
          <w:lang w:val="ru-RU"/>
        </w:rPr>
        <w:t>технічна</w:t>
      </w:r>
      <w:proofErr w:type="spellEnd"/>
      <w:r w:rsidRPr="00D14987">
        <w:rPr>
          <w:rFonts w:ascii="Times New Roman" w:hAnsi="Times New Roman"/>
          <w:b/>
          <w:sz w:val="20"/>
          <w:szCs w:val="20"/>
          <w:lang w:val="ru-RU"/>
        </w:rPr>
        <w:t xml:space="preserve">, помел 3, </w:t>
      </w:r>
      <w:proofErr w:type="spellStart"/>
      <w:r w:rsidRPr="00D14987">
        <w:rPr>
          <w:rFonts w:ascii="Times New Roman" w:hAnsi="Times New Roman"/>
          <w:b/>
          <w:sz w:val="20"/>
          <w:szCs w:val="20"/>
          <w:lang w:val="ru-RU"/>
        </w:rPr>
        <w:t>ґатунок</w:t>
      </w:r>
      <w:proofErr w:type="spellEnd"/>
      <w:r w:rsidRPr="00D14987">
        <w:rPr>
          <w:rFonts w:ascii="Times New Roman" w:hAnsi="Times New Roman"/>
          <w:b/>
          <w:sz w:val="20"/>
          <w:szCs w:val="20"/>
          <w:lang w:val="ru-RU"/>
        </w:rPr>
        <w:t xml:space="preserve"> </w:t>
      </w:r>
      <w:proofErr w:type="spellStart"/>
      <w:r w:rsidRPr="00D14987">
        <w:rPr>
          <w:rFonts w:ascii="Times New Roman" w:hAnsi="Times New Roman"/>
          <w:b/>
          <w:sz w:val="20"/>
          <w:szCs w:val="20"/>
          <w:lang w:val="ru-RU"/>
        </w:rPr>
        <w:t>вищий</w:t>
      </w:r>
      <w:proofErr w:type="spellEnd"/>
      <w:r w:rsidRPr="00D14987">
        <w:rPr>
          <w:rFonts w:ascii="Times New Roman" w:hAnsi="Times New Roman"/>
          <w:b/>
          <w:sz w:val="20"/>
          <w:szCs w:val="20"/>
          <w:lang w:val="ru-RU"/>
        </w:rPr>
        <w:t>, ДСТУ 4246</w:t>
      </w:r>
      <w:r w:rsidRPr="00D14987">
        <w:rPr>
          <w:rFonts w:ascii="Times New Roman" w:hAnsi="Times New Roman"/>
          <w:b/>
          <w:sz w:val="20"/>
          <w:szCs w:val="20"/>
        </w:rPr>
        <w:t xml:space="preserve"> (ДК 021:</w:t>
      </w:r>
      <w:proofErr w:type="gramStart"/>
      <w:r w:rsidRPr="00D14987">
        <w:rPr>
          <w:rFonts w:ascii="Times New Roman" w:hAnsi="Times New Roman"/>
          <w:b/>
          <w:sz w:val="20"/>
          <w:szCs w:val="20"/>
        </w:rPr>
        <w:t>2015  –</w:t>
      </w:r>
      <w:proofErr w:type="gramEnd"/>
      <w:r w:rsidRPr="00D14987">
        <w:rPr>
          <w:rFonts w:ascii="Times New Roman" w:hAnsi="Times New Roman"/>
          <w:b/>
          <w:sz w:val="20"/>
          <w:szCs w:val="20"/>
        </w:rPr>
        <w:t xml:space="preserve">  14410000-8</w:t>
      </w:r>
      <w:r w:rsidRPr="00D14987">
        <w:rPr>
          <w:rFonts w:ascii="Times New Roman" w:hAnsi="Times New Roman"/>
          <w:b/>
          <w:bCs/>
          <w:sz w:val="20"/>
          <w:szCs w:val="20"/>
        </w:rPr>
        <w:t xml:space="preserve"> </w:t>
      </w:r>
      <w:r w:rsidRPr="00D14987">
        <w:rPr>
          <w:rFonts w:ascii="Times New Roman" w:hAnsi="Times New Roman"/>
          <w:b/>
          <w:sz w:val="20"/>
          <w:szCs w:val="20"/>
        </w:rPr>
        <w:t>Кам’яна сіль)</w:t>
      </w:r>
    </w:p>
    <w:p w14:paraId="029471BA" w14:textId="3A7F2487" w:rsidR="00970536" w:rsidRPr="0061451D" w:rsidRDefault="00970536" w:rsidP="0061451D">
      <w:pPr>
        <w:jc w:val="both"/>
        <w:rPr>
          <w:rFonts w:ascii="Times New Roman" w:hAnsi="Times New Roman"/>
          <w:b/>
          <w:sz w:val="24"/>
          <w:szCs w:val="24"/>
        </w:rPr>
      </w:pPr>
      <w:bookmarkStart w:id="0" w:name="_GoBack"/>
      <w:bookmarkEnd w:id="0"/>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68399A24" w14:textId="21643E83" w:rsidR="004D067D" w:rsidRPr="00D14987" w:rsidRDefault="007923B2" w:rsidP="007923B2">
      <w:pPr>
        <w:tabs>
          <w:tab w:val="left" w:pos="426"/>
          <w:tab w:val="left" w:pos="7114"/>
        </w:tabs>
        <w:spacing w:after="0" w:line="240" w:lineRule="auto"/>
        <w:jc w:val="center"/>
        <w:rPr>
          <w:rFonts w:ascii="Times New Roman" w:hAnsi="Times New Roman"/>
          <w:b/>
          <w:sz w:val="24"/>
          <w:szCs w:val="24"/>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r w:rsidR="00D14987" w:rsidRPr="00D14987">
        <w:rPr>
          <w:rFonts w:ascii="Times New Roman" w:hAnsi="Times New Roman"/>
          <w:sz w:val="24"/>
          <w:szCs w:val="24"/>
        </w:rPr>
        <w:t>UA-2023-01-25-015732-a</w:t>
      </w: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W w:w="0" w:type="auto"/>
        <w:tblLook w:val="04A0" w:firstRow="1" w:lastRow="0" w:firstColumn="1" w:lastColumn="0" w:noHBand="0" w:noVBand="1"/>
      </w:tblPr>
      <w:tblGrid>
        <w:gridCol w:w="2000"/>
        <w:gridCol w:w="6509"/>
        <w:gridCol w:w="6051"/>
      </w:tblGrid>
      <w:tr w:rsidR="00B43085" w:rsidRPr="003829E6" w14:paraId="6D87881F" w14:textId="77777777" w:rsidTr="00DE45E8">
        <w:tc>
          <w:tcPr>
            <w:tcW w:w="2000" w:type="dxa"/>
          </w:tcPr>
          <w:p w14:paraId="38811E95" w14:textId="77777777" w:rsidR="00B43085" w:rsidRPr="003829E6" w:rsidRDefault="00B43085" w:rsidP="002B4682">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6509" w:type="dxa"/>
            <w:vAlign w:val="center"/>
          </w:tcPr>
          <w:p w14:paraId="4C7F12EB" w14:textId="4962BB8A" w:rsidR="00B43085" w:rsidRPr="003829E6" w:rsidRDefault="006363B8" w:rsidP="002B4682">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6051" w:type="dxa"/>
            <w:vAlign w:val="center"/>
          </w:tcPr>
          <w:p w14:paraId="4205A494" w14:textId="2EED2C04" w:rsidR="00B43085" w:rsidRPr="003829E6" w:rsidRDefault="00B43085" w:rsidP="002B4682">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DE45E8">
        <w:trPr>
          <w:gridAfter w:val="2"/>
          <w:wAfter w:w="12560" w:type="dxa"/>
        </w:trPr>
        <w:tc>
          <w:tcPr>
            <w:tcW w:w="2000" w:type="dxa"/>
          </w:tcPr>
          <w:p w14:paraId="18966944" w14:textId="5C373EB1" w:rsidR="00AA0725" w:rsidRPr="00D3282C" w:rsidRDefault="00AA0725" w:rsidP="002B4682">
            <w:pPr>
              <w:pStyle w:val="a3"/>
              <w:ind w:left="0"/>
              <w:rPr>
                <w:rFonts w:ascii="Times New Roman" w:hAnsi="Times New Roman"/>
                <w:b/>
                <w:i/>
                <w:sz w:val="20"/>
                <w:szCs w:val="20"/>
              </w:rPr>
            </w:pPr>
          </w:p>
        </w:tc>
      </w:tr>
      <w:tr w:rsidR="00DE45E8" w:rsidRPr="00DE45E8" w14:paraId="1F5580F2" w14:textId="77777777" w:rsidTr="00D14987">
        <w:trPr>
          <w:trHeight w:val="1266"/>
        </w:trPr>
        <w:tc>
          <w:tcPr>
            <w:tcW w:w="2000" w:type="dxa"/>
          </w:tcPr>
          <w:p w14:paraId="23A7FBE5" w14:textId="77777777" w:rsidR="00ED7009" w:rsidRPr="00DE45E8" w:rsidRDefault="007923B2" w:rsidP="00DC18E1">
            <w:pPr>
              <w:pStyle w:val="a3"/>
              <w:ind w:left="0"/>
              <w:rPr>
                <w:rFonts w:ascii="Times New Roman" w:eastAsia="Times New Roman" w:hAnsi="Times New Roman"/>
                <w:b/>
                <w:bCs/>
                <w:i/>
                <w:sz w:val="24"/>
                <w:szCs w:val="24"/>
                <w:lang w:eastAsia="ru-RU"/>
              </w:rPr>
            </w:pPr>
            <w:r w:rsidRPr="00DE45E8">
              <w:rPr>
                <w:rFonts w:ascii="Times New Roman" w:eastAsia="Times New Roman" w:hAnsi="Times New Roman"/>
                <w:b/>
                <w:bCs/>
                <w:i/>
                <w:sz w:val="24"/>
                <w:szCs w:val="24"/>
                <w:lang w:eastAsia="ru-RU"/>
              </w:rPr>
              <w:t>Додаток 2</w:t>
            </w:r>
          </w:p>
          <w:p w14:paraId="1881F256" w14:textId="7560CCFC" w:rsidR="007923B2" w:rsidRPr="00DE45E8" w:rsidRDefault="007923B2" w:rsidP="00DC18E1">
            <w:pPr>
              <w:pStyle w:val="a3"/>
              <w:ind w:left="0"/>
              <w:rPr>
                <w:rFonts w:ascii="Times New Roman" w:eastAsia="Times New Roman" w:hAnsi="Times New Roman"/>
                <w:b/>
                <w:bCs/>
                <w:i/>
                <w:sz w:val="24"/>
                <w:szCs w:val="24"/>
                <w:lang w:eastAsia="ru-RU"/>
              </w:rPr>
            </w:pPr>
            <w:r w:rsidRPr="00DE45E8">
              <w:rPr>
                <w:rFonts w:ascii="Times New Roman" w:eastAsia="Times New Roman" w:hAnsi="Times New Roman"/>
                <w:b/>
                <w:bCs/>
                <w:i/>
                <w:iCs/>
                <w:sz w:val="24"/>
                <w:szCs w:val="24"/>
                <w:lang w:eastAsia="ru-RU"/>
              </w:rPr>
              <w:t>Тендерної документації</w:t>
            </w:r>
            <w:r w:rsidR="00D14987">
              <w:rPr>
                <w:rFonts w:ascii="Times New Roman" w:eastAsia="Times New Roman" w:hAnsi="Times New Roman"/>
                <w:b/>
                <w:bCs/>
                <w:i/>
                <w:iCs/>
                <w:sz w:val="24"/>
                <w:szCs w:val="24"/>
                <w:lang w:eastAsia="ru-RU"/>
              </w:rPr>
              <w:t>, п. 1.2 таблиці</w:t>
            </w:r>
          </w:p>
        </w:tc>
        <w:tc>
          <w:tcPr>
            <w:tcW w:w="6509" w:type="dxa"/>
            <w:vAlign w:val="center"/>
          </w:tcPr>
          <w:p w14:paraId="5EFBA82F" w14:textId="77777777" w:rsidR="00D14987" w:rsidRDefault="00D14987" w:rsidP="00D14987">
            <w:pPr>
              <w:jc w:val="both"/>
              <w:rPr>
                <w:rFonts w:ascii="Times New Roman" w:hAnsi="Times New Roman"/>
              </w:rPr>
            </w:pPr>
            <w:r>
              <w:rPr>
                <w:rFonts w:ascii="Times New Roman" w:hAnsi="Times New Roman"/>
              </w:rPr>
              <w:t xml:space="preserve">Сіль технічна: (колір білий або світло сірий, мелена з крупністю до 4,0 мм (понад 4,0 мм – не більше 15%)) без фасування (насипом), з </w:t>
            </w:r>
            <w:proofErr w:type="spellStart"/>
            <w:r>
              <w:rPr>
                <w:rFonts w:ascii="Times New Roman" w:hAnsi="Times New Roman"/>
              </w:rPr>
              <w:t>антизлежувальною</w:t>
            </w:r>
            <w:proofErr w:type="spellEnd"/>
            <w:r>
              <w:rPr>
                <w:rFonts w:ascii="Times New Roman" w:hAnsi="Times New Roman"/>
              </w:rPr>
              <w:t xml:space="preserve"> добавкою (до 150 г/т), з масовою часткою натрію хлориду не менше 97%, повністю готова до використання. Товар не повинен вміщувати сторонніх забруднюючих домішок у вигляді рослинних решток, ґрунту, деревини, каміння, шматків металу тощо, видимих неозброєним оком.</w:t>
            </w:r>
            <w:r>
              <w:rPr>
                <w:rFonts w:ascii="Times New Roman" w:hAnsi="Times New Roman"/>
              </w:rPr>
              <w:br/>
              <w:t>Вартість товару повинна враховувати витрати на доставку (разом із навантаженням, розвантаженням, перевезенням та іншими супутніми послугами) до місця складування: м. Київ, проспект Науки, 53, та інші витрати, сплату податків і зборів, що сплачуються або мають бути сплачені.</w:t>
            </w:r>
          </w:p>
          <w:p w14:paraId="776FF65A" w14:textId="77777777" w:rsidR="00D14987" w:rsidRDefault="00D14987" w:rsidP="00D14987">
            <w:pPr>
              <w:jc w:val="both"/>
              <w:rPr>
                <w:rFonts w:ascii="Times New Roman" w:hAnsi="Times New Roman"/>
              </w:rPr>
            </w:pPr>
          </w:p>
          <w:p w14:paraId="1D4ACE63" w14:textId="77777777" w:rsidR="00D14987" w:rsidRDefault="00D14987" w:rsidP="00D14987">
            <w:pPr>
              <w:jc w:val="both"/>
              <w:rPr>
                <w:rFonts w:ascii="Times New Roman" w:hAnsi="Times New Roman"/>
              </w:rPr>
            </w:pPr>
            <w:r>
              <w:rPr>
                <w:rFonts w:ascii="Times New Roman" w:hAnsi="Times New Roman"/>
              </w:rPr>
              <w:t xml:space="preserve">Якість Товару, що є предметом поставки за цим Договором, має відповідати умовам  </w:t>
            </w:r>
            <w:r>
              <w:rPr>
                <w:rFonts w:ascii="Times New Roman" w:hAnsi="Times New Roman"/>
                <w:color w:val="000000"/>
              </w:rPr>
              <w:t xml:space="preserve">ДСТУ 4246:2003 </w:t>
            </w:r>
            <w:r>
              <w:rPr>
                <w:rFonts w:ascii="Times New Roman" w:hAnsi="Times New Roman"/>
              </w:rPr>
              <w:t>«</w:t>
            </w:r>
            <w:r>
              <w:rPr>
                <w:rFonts w:ascii="Times New Roman" w:hAnsi="Times New Roman"/>
                <w:shd w:val="clear" w:color="auto" w:fill="FFFFFF"/>
              </w:rPr>
              <w:t>Сіль для промислового переробляння. Технічні умови»*</w:t>
            </w:r>
            <w:proofErr w:type="spellStart"/>
            <w:r>
              <w:rPr>
                <w:rFonts w:ascii="Times New Roman" w:hAnsi="Times New Roman"/>
                <w:shd w:val="clear" w:color="auto" w:fill="FFFFFF"/>
              </w:rPr>
              <w:t>п.п</w:t>
            </w:r>
            <w:proofErr w:type="spellEnd"/>
            <w:r>
              <w:rPr>
                <w:rFonts w:ascii="Times New Roman" w:hAnsi="Times New Roman"/>
                <w:shd w:val="clear" w:color="auto" w:fill="FFFFFF"/>
              </w:rPr>
              <w:t>. 4.2.1 таблиця 1, п.7, п.8 (*або технічні вимоги не повинні бути гірші)</w:t>
            </w:r>
            <w:r>
              <w:rPr>
                <w:rFonts w:ascii="Times New Roman" w:hAnsi="Times New Roman"/>
              </w:rPr>
              <w:t>.</w:t>
            </w:r>
          </w:p>
          <w:p w14:paraId="59DC70D3" w14:textId="77777777" w:rsidR="00D14987" w:rsidRDefault="00D14987" w:rsidP="00D14987">
            <w:pPr>
              <w:jc w:val="both"/>
              <w:rPr>
                <w:rFonts w:ascii="Times New Roman" w:hAnsi="Times New Roman"/>
              </w:rPr>
            </w:pPr>
            <w:r>
              <w:rPr>
                <w:rFonts w:ascii="Times New Roman" w:hAnsi="Times New Roman"/>
              </w:rPr>
              <w:t>Якість товару має бути підтверджено в тендерній пропозиції копією: Сертифікату відповідності.</w:t>
            </w:r>
          </w:p>
          <w:p w14:paraId="3B80358D" w14:textId="78E125B7" w:rsidR="00700306" w:rsidRDefault="00D14987" w:rsidP="00D14987">
            <w:pPr>
              <w:spacing w:after="200" w:line="240" w:lineRule="atLeast"/>
              <w:ind w:left="567" w:hanging="283"/>
              <w:contextualSpacing/>
              <w:jc w:val="both"/>
              <w:rPr>
                <w:rFonts w:ascii="Times New Roman" w:hAnsi="Times New Roman"/>
              </w:rPr>
            </w:pPr>
            <w:r>
              <w:rPr>
                <w:rFonts w:ascii="Times New Roman" w:hAnsi="Times New Roman"/>
              </w:rPr>
              <w:t xml:space="preserve">Додатково надати протокол випробувань товару, який підтверджує відповідність </w:t>
            </w:r>
            <w:r>
              <w:rPr>
                <w:rFonts w:ascii="Times New Roman" w:hAnsi="Times New Roman"/>
                <w:color w:val="000000"/>
              </w:rPr>
              <w:t xml:space="preserve">ДСТУ 4246:2003 </w:t>
            </w:r>
            <w:r>
              <w:rPr>
                <w:rFonts w:ascii="Times New Roman" w:hAnsi="Times New Roman"/>
              </w:rPr>
              <w:t>«</w:t>
            </w:r>
            <w:r>
              <w:rPr>
                <w:rFonts w:ascii="Times New Roman" w:hAnsi="Times New Roman"/>
                <w:shd w:val="clear" w:color="auto" w:fill="FFFFFF"/>
              </w:rPr>
              <w:t xml:space="preserve">Сіль для промислового переробляння. Технічні умови», </w:t>
            </w:r>
            <w:r>
              <w:rPr>
                <w:rFonts w:ascii="Times New Roman" w:hAnsi="Times New Roman"/>
              </w:rPr>
              <w:t xml:space="preserve">кам’яна, ґатунок вищий, крупність 3, з </w:t>
            </w:r>
            <w:proofErr w:type="spellStart"/>
            <w:r>
              <w:rPr>
                <w:rFonts w:ascii="Times New Roman" w:hAnsi="Times New Roman"/>
              </w:rPr>
              <w:t>протизлежувальною</w:t>
            </w:r>
            <w:proofErr w:type="spellEnd"/>
            <w:r>
              <w:rPr>
                <w:rFonts w:ascii="Times New Roman" w:hAnsi="Times New Roman"/>
              </w:rPr>
              <w:t xml:space="preserve"> добавкою</w:t>
            </w:r>
          </w:p>
          <w:p w14:paraId="4C3A8BF5" w14:textId="35161012" w:rsidR="009364C2" w:rsidRPr="00DE45E8" w:rsidRDefault="009364C2" w:rsidP="00700306">
            <w:pPr>
              <w:tabs>
                <w:tab w:val="left" w:pos="0"/>
              </w:tabs>
              <w:spacing w:line="20" w:lineRule="atLeast"/>
              <w:jc w:val="both"/>
              <w:rPr>
                <w:rFonts w:ascii="Times New Roman" w:eastAsia="Times New Roman" w:hAnsi="Times New Roman"/>
                <w:sz w:val="24"/>
                <w:szCs w:val="24"/>
                <w:lang w:eastAsia="ru-RU"/>
              </w:rPr>
            </w:pPr>
          </w:p>
        </w:tc>
        <w:tc>
          <w:tcPr>
            <w:tcW w:w="6051" w:type="dxa"/>
            <w:vAlign w:val="center"/>
          </w:tcPr>
          <w:p w14:paraId="60BFC37B" w14:textId="7070E03A" w:rsidR="00D14987" w:rsidRPr="00D14987" w:rsidRDefault="00D14987" w:rsidP="00D14987">
            <w:pPr>
              <w:spacing w:line="259" w:lineRule="auto"/>
              <w:jc w:val="both"/>
              <w:rPr>
                <w:rFonts w:ascii="Times New Roman" w:hAnsi="Times New Roman"/>
                <w:lang w:eastAsia="uk-UA"/>
              </w:rPr>
            </w:pPr>
            <w:r w:rsidRPr="00D14987">
              <w:rPr>
                <w:rFonts w:ascii="Times New Roman" w:hAnsi="Times New Roman"/>
                <w:lang w:eastAsia="uk-UA"/>
              </w:rPr>
              <w:t>Сіль технічна: (колір білий або світло сірий, рудий</w:t>
            </w:r>
            <w:r>
              <w:rPr>
                <w:rFonts w:ascii="Times New Roman" w:hAnsi="Times New Roman"/>
                <w:lang w:eastAsia="uk-UA"/>
              </w:rPr>
              <w:t>,</w:t>
            </w:r>
            <w:r w:rsidRPr="00D14987">
              <w:rPr>
                <w:rFonts w:ascii="Times New Roman" w:hAnsi="Times New Roman"/>
                <w:lang w:eastAsia="uk-UA"/>
              </w:rPr>
              <w:t xml:space="preserve"> мелена з крупністю до 4,0 мм (понад 4,0 мм – не більше 15%)) без фасування (насипом), з </w:t>
            </w:r>
            <w:proofErr w:type="spellStart"/>
            <w:r w:rsidRPr="00D14987">
              <w:rPr>
                <w:rFonts w:ascii="Times New Roman" w:hAnsi="Times New Roman"/>
                <w:lang w:eastAsia="uk-UA"/>
              </w:rPr>
              <w:t>антизлежувальною</w:t>
            </w:r>
            <w:proofErr w:type="spellEnd"/>
            <w:r w:rsidRPr="00D14987">
              <w:rPr>
                <w:rFonts w:ascii="Times New Roman" w:hAnsi="Times New Roman"/>
                <w:lang w:eastAsia="uk-UA"/>
              </w:rPr>
              <w:t xml:space="preserve"> добавкою (до 150 г/т), з масовою часткою натрію хлориду не менше 97%, повністю готова до використання. Товар не повинен вміщувати сторонніх забруднюючих домішок у вигляді рослинних решток, ґрунту, деревини, каміння, шматків металу тощо, видимих неозброєним оком.</w:t>
            </w:r>
            <w:r w:rsidRPr="00D14987">
              <w:rPr>
                <w:rFonts w:ascii="Times New Roman" w:hAnsi="Times New Roman"/>
                <w:lang w:eastAsia="uk-UA"/>
              </w:rPr>
              <w:br/>
              <w:t>Вартість товару повинна враховувати витрати на доставку (разом із навантаженням, розвантаженням, перевезенням та іншими супутніми послугами) до місця складування: м. Київ, проспект Науки, 53, та інші витрати, сплату податків і зборів, що сплачуються або мають бути сплачені.</w:t>
            </w:r>
          </w:p>
          <w:p w14:paraId="37BB2BA9" w14:textId="77777777" w:rsidR="00D14987" w:rsidRPr="00D14987" w:rsidRDefault="00D14987" w:rsidP="00D14987">
            <w:pPr>
              <w:spacing w:line="259" w:lineRule="auto"/>
              <w:jc w:val="both"/>
              <w:rPr>
                <w:rFonts w:ascii="Times New Roman" w:hAnsi="Times New Roman"/>
                <w:lang w:eastAsia="uk-UA"/>
              </w:rPr>
            </w:pPr>
          </w:p>
          <w:p w14:paraId="2286D467" w14:textId="77777777" w:rsidR="00D14987" w:rsidRPr="00D14987" w:rsidRDefault="00D14987" w:rsidP="00D14987">
            <w:pPr>
              <w:spacing w:line="259" w:lineRule="auto"/>
              <w:jc w:val="both"/>
              <w:rPr>
                <w:rFonts w:ascii="Times New Roman" w:hAnsi="Times New Roman"/>
                <w:lang w:eastAsia="uk-UA"/>
              </w:rPr>
            </w:pPr>
            <w:r w:rsidRPr="00D14987">
              <w:rPr>
                <w:rFonts w:ascii="Times New Roman" w:hAnsi="Times New Roman"/>
                <w:lang w:eastAsia="uk-UA"/>
              </w:rPr>
              <w:t xml:space="preserve">Якість Товару, що є предметом поставки за цим Договором, має відповідати умовам  </w:t>
            </w:r>
            <w:r w:rsidRPr="00D14987">
              <w:rPr>
                <w:rFonts w:ascii="Times New Roman" w:hAnsi="Times New Roman"/>
                <w:color w:val="000000"/>
                <w:lang w:eastAsia="uk-UA"/>
              </w:rPr>
              <w:t xml:space="preserve">ДСТУ 4246:2003 </w:t>
            </w:r>
            <w:r w:rsidRPr="00D14987">
              <w:rPr>
                <w:rFonts w:ascii="Times New Roman" w:hAnsi="Times New Roman"/>
                <w:lang w:eastAsia="uk-UA"/>
              </w:rPr>
              <w:t>«</w:t>
            </w:r>
            <w:r w:rsidRPr="00D14987">
              <w:rPr>
                <w:rFonts w:ascii="Times New Roman" w:hAnsi="Times New Roman"/>
                <w:shd w:val="clear" w:color="auto" w:fill="FFFFFF"/>
                <w:lang w:eastAsia="uk-UA"/>
              </w:rPr>
              <w:t>Сіль для промислового переробляння. Технічні умови»*</w:t>
            </w:r>
            <w:proofErr w:type="spellStart"/>
            <w:r w:rsidRPr="00D14987">
              <w:rPr>
                <w:rFonts w:ascii="Times New Roman" w:hAnsi="Times New Roman"/>
                <w:shd w:val="clear" w:color="auto" w:fill="FFFFFF"/>
                <w:lang w:eastAsia="uk-UA"/>
              </w:rPr>
              <w:t>п.п</w:t>
            </w:r>
            <w:proofErr w:type="spellEnd"/>
            <w:r w:rsidRPr="00D14987">
              <w:rPr>
                <w:rFonts w:ascii="Times New Roman" w:hAnsi="Times New Roman"/>
                <w:shd w:val="clear" w:color="auto" w:fill="FFFFFF"/>
                <w:lang w:eastAsia="uk-UA"/>
              </w:rPr>
              <w:t>. 4.2.1 таблиця 1, п.7, п.8 (*або технічні вимоги не повинні бути гірші)</w:t>
            </w:r>
            <w:r w:rsidRPr="00D14987">
              <w:rPr>
                <w:rFonts w:ascii="Times New Roman" w:hAnsi="Times New Roman"/>
                <w:lang w:eastAsia="uk-UA"/>
              </w:rPr>
              <w:t>.</w:t>
            </w:r>
          </w:p>
          <w:p w14:paraId="298F3D60" w14:textId="77777777" w:rsidR="00D14987" w:rsidRPr="00D14987" w:rsidRDefault="00D14987" w:rsidP="00D14987">
            <w:pPr>
              <w:spacing w:line="259" w:lineRule="auto"/>
              <w:jc w:val="both"/>
              <w:rPr>
                <w:rFonts w:ascii="Times New Roman" w:hAnsi="Times New Roman"/>
                <w:lang w:eastAsia="uk-UA"/>
              </w:rPr>
            </w:pPr>
            <w:r w:rsidRPr="00D14987">
              <w:rPr>
                <w:rFonts w:ascii="Times New Roman" w:hAnsi="Times New Roman"/>
                <w:lang w:eastAsia="uk-UA"/>
              </w:rPr>
              <w:t>Якість товару має бути підтверджено в тендерній пропозиції копією: Сертифікату відповідності або сертифікату якості або паспорт якості.</w:t>
            </w:r>
          </w:p>
          <w:p w14:paraId="7D18111D" w14:textId="77324A10" w:rsidR="00ED7009" w:rsidRPr="00DE45E8" w:rsidRDefault="00D14987" w:rsidP="00D14987">
            <w:pPr>
              <w:spacing w:line="240" w:lineRule="atLeast"/>
              <w:ind w:left="567" w:hanging="283"/>
              <w:contextualSpacing/>
              <w:jc w:val="both"/>
              <w:rPr>
                <w:rFonts w:ascii="Times New Roman" w:eastAsia="Times New Roman" w:hAnsi="Times New Roman"/>
                <w:sz w:val="24"/>
                <w:szCs w:val="24"/>
                <w:lang w:eastAsia="ru-RU"/>
              </w:rPr>
            </w:pPr>
            <w:r w:rsidRPr="00D14987">
              <w:rPr>
                <w:rFonts w:ascii="Times New Roman" w:hAnsi="Times New Roman"/>
                <w:lang w:eastAsia="uk-UA"/>
              </w:rPr>
              <w:t xml:space="preserve">Додатково надати протокол випробувань товару, який підтверджує відповідність </w:t>
            </w:r>
            <w:r w:rsidRPr="00D14987">
              <w:rPr>
                <w:rFonts w:ascii="Times New Roman" w:hAnsi="Times New Roman"/>
                <w:color w:val="000000"/>
                <w:lang w:eastAsia="uk-UA"/>
              </w:rPr>
              <w:t xml:space="preserve">ДСТУ 4246:2003 </w:t>
            </w:r>
            <w:r w:rsidRPr="00D14987">
              <w:rPr>
                <w:rFonts w:ascii="Times New Roman" w:hAnsi="Times New Roman"/>
                <w:lang w:eastAsia="uk-UA"/>
              </w:rPr>
              <w:t>«</w:t>
            </w:r>
            <w:r w:rsidRPr="00D14987">
              <w:rPr>
                <w:rFonts w:ascii="Times New Roman" w:hAnsi="Times New Roman"/>
                <w:shd w:val="clear" w:color="auto" w:fill="FFFFFF"/>
                <w:lang w:eastAsia="uk-UA"/>
              </w:rPr>
              <w:t xml:space="preserve">Сіль для промислового переробляння. Технічні умови», </w:t>
            </w:r>
            <w:r w:rsidRPr="00D14987">
              <w:rPr>
                <w:rFonts w:ascii="Times New Roman" w:hAnsi="Times New Roman"/>
                <w:lang w:eastAsia="uk-UA"/>
              </w:rPr>
              <w:t xml:space="preserve">ґатунок вищий, крупність 3, з </w:t>
            </w:r>
            <w:proofErr w:type="spellStart"/>
            <w:r w:rsidRPr="00D14987">
              <w:rPr>
                <w:rFonts w:ascii="Times New Roman" w:hAnsi="Times New Roman"/>
                <w:lang w:eastAsia="uk-UA"/>
              </w:rPr>
              <w:t>протизлежувальною</w:t>
            </w:r>
            <w:proofErr w:type="spellEnd"/>
            <w:r w:rsidRPr="00D14987">
              <w:rPr>
                <w:rFonts w:ascii="Times New Roman" w:hAnsi="Times New Roman"/>
                <w:lang w:eastAsia="uk-UA"/>
              </w:rPr>
              <w:t xml:space="preserve"> добавкою або </w:t>
            </w:r>
            <w:r w:rsidRPr="00D14987">
              <w:rPr>
                <w:rFonts w:ascii="Times New Roman" w:hAnsi="Times New Roman"/>
                <w:lang w:eastAsia="uk-UA"/>
              </w:rPr>
              <w:lastRenderedPageBreak/>
              <w:t xml:space="preserve">декларацію постачальника про відповідність, складену відповідно ДСТУ </w:t>
            </w:r>
            <w:r w:rsidRPr="00D14987">
              <w:rPr>
                <w:rFonts w:ascii="Times New Roman" w:hAnsi="Times New Roman"/>
                <w:lang w:val="en-US" w:eastAsia="uk-UA"/>
              </w:rPr>
              <w:t>ISO</w:t>
            </w:r>
            <w:r w:rsidRPr="00D14987">
              <w:rPr>
                <w:rFonts w:ascii="Times New Roman" w:hAnsi="Times New Roman"/>
                <w:lang w:eastAsia="uk-UA"/>
              </w:rPr>
              <w:t>/ІЕСІ 17050 – 1:2006.</w:t>
            </w:r>
          </w:p>
        </w:tc>
      </w:tr>
      <w:tr w:rsidR="00857E51" w:rsidRPr="009B502C" w14:paraId="73A377A2" w14:textId="77777777" w:rsidTr="00D14987">
        <w:trPr>
          <w:trHeight w:val="312"/>
        </w:trPr>
        <w:tc>
          <w:tcPr>
            <w:tcW w:w="2000" w:type="dxa"/>
          </w:tcPr>
          <w:p w14:paraId="4D7F7494" w14:textId="77777777" w:rsidR="00D14987" w:rsidRPr="00D14987" w:rsidRDefault="00D14987" w:rsidP="00D14987">
            <w:pPr>
              <w:contextualSpacing/>
              <w:rPr>
                <w:rFonts w:ascii="Times New Roman" w:eastAsia="Times New Roman" w:hAnsi="Times New Roman"/>
                <w:b/>
                <w:bCs/>
                <w:i/>
                <w:iCs/>
                <w:color w:val="000000"/>
                <w:sz w:val="24"/>
                <w:szCs w:val="24"/>
                <w:lang w:eastAsia="ru-RU"/>
              </w:rPr>
            </w:pPr>
            <w:r w:rsidRPr="00D14987">
              <w:rPr>
                <w:rFonts w:ascii="Times New Roman" w:eastAsia="Times New Roman" w:hAnsi="Times New Roman"/>
                <w:b/>
                <w:bCs/>
                <w:i/>
                <w:iCs/>
                <w:color w:val="000000"/>
                <w:sz w:val="24"/>
                <w:szCs w:val="24"/>
                <w:lang w:eastAsia="ru-RU"/>
              </w:rPr>
              <w:lastRenderedPageBreak/>
              <w:t>Розділ 4. Подання та розкриття тендерної пропозиції</w:t>
            </w:r>
          </w:p>
          <w:p w14:paraId="1DFA0836" w14:textId="2DA842FC" w:rsidR="00D14987" w:rsidRDefault="00D14987" w:rsidP="00D14987">
            <w:pPr>
              <w:contextualSpacing/>
              <w:rPr>
                <w:rFonts w:ascii="Times New Roman" w:eastAsia="Times New Roman" w:hAnsi="Times New Roman"/>
                <w:b/>
                <w:bCs/>
                <w:i/>
                <w:iCs/>
                <w:color w:val="000000"/>
                <w:sz w:val="24"/>
                <w:szCs w:val="24"/>
                <w:lang w:eastAsia="ru-RU"/>
              </w:rPr>
            </w:pPr>
            <w:r w:rsidRPr="00D14987">
              <w:rPr>
                <w:rFonts w:ascii="Times New Roman" w:eastAsia="Times New Roman" w:hAnsi="Times New Roman"/>
                <w:b/>
                <w:bCs/>
                <w:i/>
                <w:iCs/>
                <w:color w:val="000000"/>
                <w:sz w:val="24"/>
                <w:szCs w:val="24"/>
                <w:lang w:eastAsia="ru-RU"/>
              </w:rPr>
              <w:t>Кінцевий строк подання тендерної пропозиції</w:t>
            </w:r>
          </w:p>
          <w:p w14:paraId="7D248175" w14:textId="128BE249" w:rsidR="00857E51" w:rsidRPr="000909CB" w:rsidRDefault="00857E51" w:rsidP="000909CB">
            <w:pPr>
              <w:contextualSpacing/>
              <w:rPr>
                <w:rFonts w:ascii="Times New Roman" w:eastAsia="Times New Roman" w:hAnsi="Times New Roman"/>
                <w:b/>
                <w:bCs/>
                <w:i/>
                <w:iCs/>
                <w:color w:val="000000"/>
                <w:sz w:val="24"/>
                <w:szCs w:val="24"/>
                <w:lang w:eastAsia="ru-RU"/>
              </w:rPr>
            </w:pPr>
          </w:p>
        </w:tc>
        <w:tc>
          <w:tcPr>
            <w:tcW w:w="6509" w:type="dxa"/>
            <w:vAlign w:val="center"/>
          </w:tcPr>
          <w:p w14:paraId="0AC0AD55" w14:textId="77777777" w:rsidR="00857E51" w:rsidRPr="00857E51" w:rsidRDefault="00857E51" w:rsidP="00857E51">
            <w:pPr>
              <w:keepNext/>
              <w:keepLines/>
              <w:ind w:left="40" w:right="120"/>
              <w:contextualSpacing/>
              <w:jc w:val="both"/>
              <w:rPr>
                <w:rFonts w:ascii="Times New Roman" w:eastAsia="Times New Roman" w:hAnsi="Times New Roman"/>
                <w:bCs/>
                <w:color w:val="000000"/>
                <w:sz w:val="24"/>
                <w:szCs w:val="24"/>
                <w:lang w:eastAsia="ru-RU"/>
              </w:rPr>
            </w:pPr>
            <w:r w:rsidRPr="00857E51">
              <w:rPr>
                <w:rFonts w:ascii="Times New Roman" w:eastAsia="Times New Roman" w:hAnsi="Times New Roman"/>
                <w:bCs/>
                <w:color w:val="000000"/>
                <w:sz w:val="24"/>
                <w:szCs w:val="24"/>
                <w:lang w:eastAsia="ru-RU"/>
              </w:rPr>
              <w:t xml:space="preserve">Кінцевий строк подання тендерних пропозицій – </w:t>
            </w:r>
          </w:p>
          <w:p w14:paraId="7C875D16" w14:textId="2045B903" w:rsidR="00857E51" w:rsidRPr="000909CB" w:rsidRDefault="00D14987" w:rsidP="00857E51">
            <w:pPr>
              <w:keepNext/>
              <w:keepLines/>
              <w:ind w:left="40" w:right="120"/>
              <w:contextualSpacing/>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02.02</w:t>
            </w:r>
            <w:r w:rsidR="00700306">
              <w:rPr>
                <w:rFonts w:ascii="Times New Roman" w:eastAsia="Times New Roman" w:hAnsi="Times New Roman"/>
                <w:b/>
                <w:bCs/>
                <w:color w:val="000000"/>
                <w:sz w:val="24"/>
                <w:szCs w:val="24"/>
                <w:lang w:eastAsia="ru-RU"/>
              </w:rPr>
              <w:t>. 2023</w:t>
            </w:r>
            <w:r w:rsidR="00857E51" w:rsidRPr="00857E51">
              <w:rPr>
                <w:rFonts w:ascii="Times New Roman" w:eastAsia="Times New Roman" w:hAnsi="Times New Roman"/>
                <w:b/>
                <w:bCs/>
                <w:color w:val="000000"/>
                <w:sz w:val="24"/>
                <w:szCs w:val="24"/>
                <w:lang w:eastAsia="ru-RU"/>
              </w:rPr>
              <w:t xml:space="preserve">року. </w:t>
            </w:r>
          </w:p>
        </w:tc>
        <w:tc>
          <w:tcPr>
            <w:tcW w:w="6051" w:type="dxa"/>
            <w:vAlign w:val="center"/>
          </w:tcPr>
          <w:p w14:paraId="518B2FE4" w14:textId="77777777" w:rsidR="00857E51" w:rsidRPr="00857E51" w:rsidRDefault="00857E51" w:rsidP="00857E51">
            <w:pPr>
              <w:tabs>
                <w:tab w:val="num" w:pos="0"/>
                <w:tab w:val="num" w:pos="1440"/>
              </w:tabs>
              <w:jc w:val="both"/>
              <w:rPr>
                <w:rFonts w:ascii="Times New Roman" w:eastAsia="Times New Roman" w:hAnsi="Times New Roman"/>
                <w:lang w:eastAsia="ru-RU"/>
              </w:rPr>
            </w:pPr>
            <w:r w:rsidRPr="00857E51">
              <w:rPr>
                <w:rFonts w:ascii="Times New Roman" w:eastAsia="Times New Roman" w:hAnsi="Times New Roman"/>
                <w:lang w:eastAsia="ru-RU"/>
              </w:rPr>
              <w:t xml:space="preserve">Кінцевий строк подання тендерних пропозицій – </w:t>
            </w:r>
          </w:p>
          <w:p w14:paraId="700B114C" w14:textId="23A41E17" w:rsidR="00857E51" w:rsidRPr="004B1480" w:rsidRDefault="00D14987" w:rsidP="00857E51">
            <w:pPr>
              <w:tabs>
                <w:tab w:val="num" w:pos="0"/>
                <w:tab w:val="num" w:pos="1440"/>
              </w:tabs>
              <w:jc w:val="both"/>
              <w:rPr>
                <w:rFonts w:ascii="Times New Roman" w:eastAsia="Times New Roman" w:hAnsi="Times New Roman"/>
                <w:lang w:val="ru-RU" w:eastAsia="ru-RU"/>
              </w:rPr>
            </w:pPr>
            <w:r>
              <w:rPr>
                <w:rFonts w:ascii="Times New Roman" w:eastAsia="Times New Roman" w:hAnsi="Times New Roman"/>
                <w:b/>
                <w:lang w:eastAsia="ru-RU"/>
              </w:rPr>
              <w:t>07.02</w:t>
            </w:r>
            <w:r w:rsidR="00700306">
              <w:rPr>
                <w:rFonts w:ascii="Times New Roman" w:eastAsia="Times New Roman" w:hAnsi="Times New Roman"/>
                <w:b/>
                <w:lang w:eastAsia="ru-RU"/>
              </w:rPr>
              <w:t>. 2023</w:t>
            </w:r>
            <w:r w:rsidR="00857E51" w:rsidRPr="00857E51">
              <w:rPr>
                <w:rFonts w:ascii="Times New Roman" w:eastAsia="Times New Roman" w:hAnsi="Times New Roman"/>
                <w:b/>
                <w:lang w:eastAsia="ru-RU"/>
              </w:rPr>
              <w:t xml:space="preserve">року. </w:t>
            </w:r>
          </w:p>
        </w:tc>
      </w:tr>
      <w:tr w:rsidR="00D14987" w:rsidRPr="009B502C" w14:paraId="753E2D13" w14:textId="77777777" w:rsidTr="00DE45E8">
        <w:trPr>
          <w:trHeight w:val="3276"/>
        </w:trPr>
        <w:tc>
          <w:tcPr>
            <w:tcW w:w="2000" w:type="dxa"/>
          </w:tcPr>
          <w:p w14:paraId="5CC0986F" w14:textId="77777777" w:rsidR="00D14987" w:rsidRDefault="00D14987" w:rsidP="00D14987">
            <w:pPr>
              <w:contextualSpacing/>
              <w:rPr>
                <w:rFonts w:ascii="Times New Roman" w:eastAsia="Times New Roman" w:hAnsi="Times New Roman"/>
                <w:b/>
                <w:bCs/>
                <w:i/>
                <w:iCs/>
                <w:color w:val="000000"/>
                <w:sz w:val="24"/>
                <w:szCs w:val="24"/>
                <w:lang w:eastAsia="ru-RU"/>
              </w:rPr>
            </w:pPr>
          </w:p>
          <w:p w14:paraId="7B945AAA" w14:textId="77777777" w:rsidR="00D14987" w:rsidRPr="00D14987" w:rsidRDefault="00D14987" w:rsidP="00D14987">
            <w:pPr>
              <w:contextualSpacing/>
              <w:rPr>
                <w:rFonts w:ascii="Times New Roman" w:eastAsia="Times New Roman" w:hAnsi="Times New Roman"/>
                <w:b/>
                <w:bCs/>
                <w:i/>
                <w:iCs/>
                <w:color w:val="000000"/>
                <w:sz w:val="24"/>
                <w:szCs w:val="24"/>
                <w:lang w:eastAsia="ru-RU"/>
              </w:rPr>
            </w:pPr>
            <w:r w:rsidRPr="00D14987">
              <w:rPr>
                <w:rFonts w:ascii="Times New Roman" w:eastAsia="Times New Roman" w:hAnsi="Times New Roman"/>
                <w:b/>
                <w:bCs/>
                <w:i/>
                <w:iCs/>
                <w:color w:val="000000"/>
                <w:sz w:val="24"/>
                <w:szCs w:val="24"/>
                <w:lang w:eastAsia="ru-RU"/>
              </w:rPr>
              <w:t>Додаток 2</w:t>
            </w:r>
          </w:p>
          <w:p w14:paraId="63A4C0AD" w14:textId="39753334" w:rsidR="00D14987" w:rsidRDefault="00D14987" w:rsidP="00D14987">
            <w:pPr>
              <w:contextualSpacing/>
              <w:rPr>
                <w:rFonts w:ascii="Times New Roman" w:eastAsia="Times New Roman" w:hAnsi="Times New Roman"/>
                <w:b/>
                <w:bCs/>
                <w:i/>
                <w:iCs/>
                <w:color w:val="000000"/>
                <w:sz w:val="24"/>
                <w:szCs w:val="24"/>
                <w:lang w:eastAsia="ru-RU"/>
              </w:rPr>
            </w:pPr>
            <w:r w:rsidRPr="00D14987">
              <w:rPr>
                <w:rFonts w:ascii="Times New Roman" w:eastAsia="Times New Roman" w:hAnsi="Times New Roman"/>
                <w:b/>
                <w:bCs/>
                <w:i/>
                <w:iCs/>
                <w:color w:val="000000"/>
                <w:sz w:val="24"/>
                <w:szCs w:val="24"/>
                <w:lang w:eastAsia="ru-RU"/>
              </w:rPr>
              <w:t>Тендерної документації</w:t>
            </w:r>
            <w:r>
              <w:rPr>
                <w:rFonts w:ascii="Times New Roman" w:eastAsia="Times New Roman" w:hAnsi="Times New Roman"/>
                <w:b/>
                <w:bCs/>
                <w:i/>
                <w:iCs/>
                <w:color w:val="000000"/>
                <w:sz w:val="24"/>
                <w:szCs w:val="24"/>
                <w:lang w:eastAsia="ru-RU"/>
              </w:rPr>
              <w:t>, п. 1.3</w:t>
            </w:r>
            <w:r w:rsidRPr="00D14987">
              <w:rPr>
                <w:rFonts w:ascii="Times New Roman" w:eastAsia="Times New Roman" w:hAnsi="Times New Roman"/>
                <w:b/>
                <w:bCs/>
                <w:i/>
                <w:iCs/>
                <w:color w:val="000000"/>
                <w:sz w:val="24"/>
                <w:szCs w:val="24"/>
                <w:lang w:eastAsia="ru-RU"/>
              </w:rPr>
              <w:t xml:space="preserve"> таблиці</w:t>
            </w:r>
          </w:p>
          <w:p w14:paraId="423EDD9E" w14:textId="5D0DB24F" w:rsidR="00D14987" w:rsidRDefault="00D14987" w:rsidP="00D14987">
            <w:pPr>
              <w:contextualSpacing/>
              <w:rPr>
                <w:rFonts w:ascii="Times New Roman" w:eastAsia="Times New Roman" w:hAnsi="Times New Roman"/>
                <w:b/>
                <w:bCs/>
                <w:i/>
                <w:iCs/>
                <w:color w:val="000000"/>
                <w:sz w:val="24"/>
                <w:szCs w:val="24"/>
                <w:lang w:eastAsia="ru-RU"/>
              </w:rPr>
            </w:pPr>
          </w:p>
        </w:tc>
        <w:tc>
          <w:tcPr>
            <w:tcW w:w="6509" w:type="dxa"/>
            <w:vAlign w:val="center"/>
          </w:tcPr>
          <w:p w14:paraId="62AD0A3A" w14:textId="77777777" w:rsidR="00D14987" w:rsidRPr="00D14987" w:rsidRDefault="00D14987" w:rsidP="00D14987">
            <w:pPr>
              <w:spacing w:after="160" w:line="256" w:lineRule="auto"/>
              <w:jc w:val="both"/>
              <w:rPr>
                <w:rFonts w:ascii="Times New Roman" w:hAnsi="Times New Roman"/>
                <w:lang w:eastAsia="uk-UA"/>
              </w:rPr>
            </w:pPr>
            <w:r w:rsidRPr="00D14987">
              <w:rPr>
                <w:rFonts w:ascii="Times New Roman" w:hAnsi="Times New Roman"/>
                <w:lang w:eastAsia="uk-UA"/>
              </w:rPr>
              <w:t>Класифікація солі для промислового переробляння згідно ДСТУ 4246 : 2003:</w:t>
            </w:r>
          </w:p>
          <w:p w14:paraId="236E4A35" w14:textId="77777777" w:rsidR="00D14987" w:rsidRPr="00D14987" w:rsidRDefault="00D14987" w:rsidP="00D14987">
            <w:pPr>
              <w:spacing w:after="160" w:line="256" w:lineRule="auto"/>
              <w:jc w:val="both"/>
              <w:rPr>
                <w:rFonts w:ascii="Times New Roman" w:hAnsi="Times New Roman"/>
                <w:lang w:eastAsia="uk-UA"/>
              </w:rPr>
            </w:pPr>
            <w:r w:rsidRPr="00D14987">
              <w:rPr>
                <w:rFonts w:ascii="Times New Roman" w:hAnsi="Times New Roman"/>
                <w:lang w:eastAsia="uk-UA"/>
              </w:rPr>
              <w:t xml:space="preserve">- за видом: з </w:t>
            </w:r>
            <w:proofErr w:type="spellStart"/>
            <w:r w:rsidRPr="00D14987">
              <w:rPr>
                <w:rFonts w:ascii="Times New Roman" w:hAnsi="Times New Roman"/>
                <w:lang w:eastAsia="uk-UA"/>
              </w:rPr>
              <w:t>протизлежувальною</w:t>
            </w:r>
            <w:proofErr w:type="spellEnd"/>
            <w:r w:rsidRPr="00D14987">
              <w:rPr>
                <w:rFonts w:ascii="Times New Roman" w:hAnsi="Times New Roman"/>
                <w:lang w:eastAsia="uk-UA"/>
              </w:rPr>
              <w:t xml:space="preserve"> добавкою;</w:t>
            </w:r>
          </w:p>
          <w:p w14:paraId="5921A5C0" w14:textId="77777777" w:rsidR="00D14987" w:rsidRPr="00D14987" w:rsidRDefault="00D14987" w:rsidP="00D14987">
            <w:pPr>
              <w:spacing w:after="160" w:line="256" w:lineRule="auto"/>
              <w:jc w:val="both"/>
              <w:rPr>
                <w:rFonts w:ascii="Times New Roman" w:hAnsi="Times New Roman"/>
                <w:lang w:eastAsia="uk-UA"/>
              </w:rPr>
            </w:pPr>
            <w:r w:rsidRPr="00D14987">
              <w:rPr>
                <w:rFonts w:ascii="Times New Roman" w:hAnsi="Times New Roman"/>
                <w:lang w:eastAsia="uk-UA"/>
              </w:rPr>
              <w:t>- за способом одержання: кам’яна;</w:t>
            </w:r>
          </w:p>
          <w:p w14:paraId="7AE09010" w14:textId="77777777" w:rsidR="00D14987" w:rsidRPr="00D14987" w:rsidRDefault="00D14987" w:rsidP="00D14987">
            <w:pPr>
              <w:spacing w:after="160" w:line="256" w:lineRule="auto"/>
              <w:jc w:val="both"/>
              <w:rPr>
                <w:rFonts w:ascii="Times New Roman" w:hAnsi="Times New Roman"/>
                <w:lang w:eastAsia="uk-UA"/>
              </w:rPr>
            </w:pPr>
            <w:r w:rsidRPr="00D14987">
              <w:rPr>
                <w:rFonts w:ascii="Times New Roman" w:hAnsi="Times New Roman"/>
                <w:lang w:eastAsia="uk-UA"/>
              </w:rPr>
              <w:t>- за якістю: ґатунок вищий;</w:t>
            </w:r>
          </w:p>
          <w:p w14:paraId="1403A370" w14:textId="77777777" w:rsidR="00D14987" w:rsidRPr="00D14987" w:rsidRDefault="00D14987" w:rsidP="00D14987">
            <w:pPr>
              <w:spacing w:after="160" w:line="256" w:lineRule="auto"/>
              <w:jc w:val="both"/>
              <w:rPr>
                <w:rFonts w:ascii="Times New Roman" w:hAnsi="Times New Roman"/>
                <w:lang w:eastAsia="uk-UA"/>
              </w:rPr>
            </w:pPr>
            <w:r w:rsidRPr="00D14987">
              <w:rPr>
                <w:rFonts w:ascii="Times New Roman" w:hAnsi="Times New Roman"/>
                <w:lang w:eastAsia="uk-UA"/>
              </w:rPr>
              <w:t>- за крупністю: мелена (крупність 3)</w:t>
            </w:r>
          </w:p>
          <w:p w14:paraId="00C8C5C0" w14:textId="6AA1A945" w:rsidR="00D14987" w:rsidRPr="00857E51" w:rsidRDefault="00D14987" w:rsidP="00D14987">
            <w:pPr>
              <w:keepNext/>
              <w:keepLines/>
              <w:ind w:left="40" w:right="120"/>
              <w:contextualSpacing/>
              <w:jc w:val="both"/>
              <w:rPr>
                <w:rFonts w:ascii="Times New Roman" w:eastAsia="Times New Roman" w:hAnsi="Times New Roman"/>
                <w:bCs/>
                <w:color w:val="000000"/>
                <w:sz w:val="24"/>
                <w:szCs w:val="24"/>
                <w:lang w:eastAsia="ru-RU"/>
              </w:rPr>
            </w:pPr>
            <w:r w:rsidRPr="00D14987">
              <w:rPr>
                <w:rFonts w:ascii="Times New Roman" w:hAnsi="Times New Roman"/>
                <w:lang w:eastAsia="uk-UA"/>
              </w:rPr>
              <w:t>- без пакування.</w:t>
            </w:r>
          </w:p>
        </w:tc>
        <w:tc>
          <w:tcPr>
            <w:tcW w:w="6051" w:type="dxa"/>
            <w:vAlign w:val="center"/>
          </w:tcPr>
          <w:p w14:paraId="1EB2BB53" w14:textId="77777777" w:rsidR="00D14987" w:rsidRPr="00DB0D1F" w:rsidRDefault="00D14987" w:rsidP="00D14987">
            <w:pPr>
              <w:jc w:val="both"/>
              <w:rPr>
                <w:rFonts w:ascii="Times New Roman" w:hAnsi="Times New Roman"/>
              </w:rPr>
            </w:pPr>
            <w:r w:rsidRPr="00DB0D1F">
              <w:rPr>
                <w:rFonts w:ascii="Times New Roman" w:hAnsi="Times New Roman"/>
              </w:rPr>
              <w:t>Класифікація солі для промислового переробляння згідно ДСТУ 4246 : 2003:</w:t>
            </w:r>
          </w:p>
          <w:p w14:paraId="49C91074" w14:textId="77777777" w:rsidR="00D14987" w:rsidRPr="00DB0D1F" w:rsidRDefault="00D14987" w:rsidP="00D14987">
            <w:pPr>
              <w:jc w:val="both"/>
              <w:rPr>
                <w:rFonts w:ascii="Times New Roman" w:hAnsi="Times New Roman"/>
              </w:rPr>
            </w:pPr>
            <w:r w:rsidRPr="00DB0D1F">
              <w:rPr>
                <w:rFonts w:ascii="Times New Roman" w:hAnsi="Times New Roman"/>
              </w:rPr>
              <w:t xml:space="preserve">- за видом: з </w:t>
            </w:r>
            <w:proofErr w:type="spellStart"/>
            <w:r w:rsidRPr="00DB0D1F">
              <w:rPr>
                <w:rFonts w:ascii="Times New Roman" w:hAnsi="Times New Roman"/>
              </w:rPr>
              <w:t>протизлежувальною</w:t>
            </w:r>
            <w:proofErr w:type="spellEnd"/>
            <w:r w:rsidRPr="00DB0D1F">
              <w:rPr>
                <w:rFonts w:ascii="Times New Roman" w:hAnsi="Times New Roman"/>
              </w:rPr>
              <w:t xml:space="preserve"> добавкою;</w:t>
            </w:r>
          </w:p>
          <w:p w14:paraId="41891FE9" w14:textId="77777777" w:rsidR="00D14987" w:rsidRPr="00DB0D1F" w:rsidRDefault="00D14987" w:rsidP="00D14987">
            <w:pPr>
              <w:jc w:val="both"/>
              <w:rPr>
                <w:rFonts w:ascii="Times New Roman" w:hAnsi="Times New Roman"/>
              </w:rPr>
            </w:pPr>
            <w:r w:rsidRPr="00DB0D1F">
              <w:rPr>
                <w:rFonts w:ascii="Times New Roman" w:hAnsi="Times New Roman"/>
              </w:rPr>
              <w:t>- за якістю: ґатунок вищий;</w:t>
            </w:r>
          </w:p>
          <w:p w14:paraId="449A0B74" w14:textId="77777777" w:rsidR="00D14987" w:rsidRPr="00DB0D1F" w:rsidRDefault="00D14987" w:rsidP="00D14987">
            <w:pPr>
              <w:jc w:val="both"/>
              <w:rPr>
                <w:rFonts w:ascii="Times New Roman" w:hAnsi="Times New Roman"/>
              </w:rPr>
            </w:pPr>
            <w:r w:rsidRPr="00DB0D1F">
              <w:rPr>
                <w:rFonts w:ascii="Times New Roman" w:hAnsi="Times New Roman"/>
              </w:rPr>
              <w:t>- за крупністю: мелена (крупність 3)</w:t>
            </w:r>
          </w:p>
          <w:p w14:paraId="315717F0" w14:textId="64B64ADD" w:rsidR="00D14987" w:rsidRPr="00857E51" w:rsidRDefault="00D14987" w:rsidP="00D14987">
            <w:pPr>
              <w:tabs>
                <w:tab w:val="num" w:pos="0"/>
                <w:tab w:val="num" w:pos="1440"/>
              </w:tabs>
              <w:jc w:val="both"/>
              <w:rPr>
                <w:rFonts w:ascii="Times New Roman" w:eastAsia="Times New Roman" w:hAnsi="Times New Roman"/>
                <w:lang w:eastAsia="ru-RU"/>
              </w:rPr>
            </w:pPr>
            <w:r w:rsidRPr="00DB0D1F">
              <w:rPr>
                <w:rFonts w:ascii="Times New Roman" w:hAnsi="Times New Roman"/>
              </w:rPr>
              <w:t>- без пакування.</w:t>
            </w:r>
          </w:p>
        </w:tc>
      </w:tr>
    </w:tbl>
    <w:p w14:paraId="3E017D83" w14:textId="5E7A9667" w:rsidR="001243A3" w:rsidRDefault="001243A3" w:rsidP="00486896">
      <w:pPr>
        <w:spacing w:after="0" w:line="240" w:lineRule="auto"/>
        <w:rPr>
          <w:rFonts w:ascii="Times New Roman" w:hAnsi="Times New Roman"/>
          <w:bCs/>
          <w:color w:val="FF0000"/>
          <w:sz w:val="20"/>
          <w:szCs w:val="20"/>
        </w:rPr>
      </w:pPr>
    </w:p>
    <w:p w14:paraId="1FE8C516" w14:textId="77777777" w:rsidR="00ED7009" w:rsidRDefault="00ED7009" w:rsidP="00486896">
      <w:pPr>
        <w:spacing w:after="0" w:line="240" w:lineRule="auto"/>
        <w:rPr>
          <w:rFonts w:ascii="Times New Roman" w:hAnsi="Times New Roman"/>
          <w:bCs/>
          <w:color w:val="FF0000"/>
          <w:sz w:val="20"/>
          <w:szCs w:val="20"/>
        </w:rPr>
      </w:pPr>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0"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2"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1"/>
  </w:num>
  <w:num w:numId="2">
    <w:abstractNumId w:val="11"/>
  </w:num>
  <w:num w:numId="3">
    <w:abstractNumId w:val="10"/>
  </w:num>
  <w:num w:numId="4">
    <w:abstractNumId w:val="3"/>
  </w:num>
  <w:num w:numId="5">
    <w:abstractNumId w:val="8"/>
  </w:num>
  <w:num w:numId="6">
    <w:abstractNumId w:val="2"/>
  </w:num>
  <w:num w:numId="7">
    <w:abstractNumId w:val="12"/>
  </w:num>
  <w:num w:numId="8">
    <w:abstractNumId w:val="9"/>
  </w:num>
  <w:num w:numId="9">
    <w:abstractNumId w:val="7"/>
  </w:num>
  <w:num w:numId="10">
    <w:abstractNumId w:val="5"/>
  </w:num>
  <w:num w:numId="11">
    <w:abstractNumId w:val="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2F2A"/>
    <w:rsid w:val="000909CB"/>
    <w:rsid w:val="000A57D6"/>
    <w:rsid w:val="001123C1"/>
    <w:rsid w:val="001243A3"/>
    <w:rsid w:val="001478C5"/>
    <w:rsid w:val="00195C08"/>
    <w:rsid w:val="001A0043"/>
    <w:rsid w:val="001C3B7E"/>
    <w:rsid w:val="001C792A"/>
    <w:rsid w:val="002139CF"/>
    <w:rsid w:val="00221D59"/>
    <w:rsid w:val="00242A65"/>
    <w:rsid w:val="002642CD"/>
    <w:rsid w:val="002B4682"/>
    <w:rsid w:val="002F43F6"/>
    <w:rsid w:val="00321C9C"/>
    <w:rsid w:val="0033014E"/>
    <w:rsid w:val="003304FC"/>
    <w:rsid w:val="003343AB"/>
    <w:rsid w:val="00340AB4"/>
    <w:rsid w:val="00345693"/>
    <w:rsid w:val="00375BA5"/>
    <w:rsid w:val="003768E9"/>
    <w:rsid w:val="003829E6"/>
    <w:rsid w:val="003B5A28"/>
    <w:rsid w:val="003B7CD7"/>
    <w:rsid w:val="003C41F2"/>
    <w:rsid w:val="003E0236"/>
    <w:rsid w:val="00405550"/>
    <w:rsid w:val="00441362"/>
    <w:rsid w:val="0044258C"/>
    <w:rsid w:val="00453CB5"/>
    <w:rsid w:val="00486896"/>
    <w:rsid w:val="004A63EA"/>
    <w:rsid w:val="004A777F"/>
    <w:rsid w:val="004B1480"/>
    <w:rsid w:val="004D067D"/>
    <w:rsid w:val="004D4F93"/>
    <w:rsid w:val="004E4065"/>
    <w:rsid w:val="004E62B5"/>
    <w:rsid w:val="00546428"/>
    <w:rsid w:val="005C12C5"/>
    <w:rsid w:val="005C7422"/>
    <w:rsid w:val="005E7189"/>
    <w:rsid w:val="005F34AF"/>
    <w:rsid w:val="005F37AE"/>
    <w:rsid w:val="0061451D"/>
    <w:rsid w:val="006363B8"/>
    <w:rsid w:val="00644267"/>
    <w:rsid w:val="00651C22"/>
    <w:rsid w:val="0066437E"/>
    <w:rsid w:val="00673F69"/>
    <w:rsid w:val="0067677C"/>
    <w:rsid w:val="006864BA"/>
    <w:rsid w:val="006A02FF"/>
    <w:rsid w:val="006A2541"/>
    <w:rsid w:val="006A34EB"/>
    <w:rsid w:val="006A525A"/>
    <w:rsid w:val="006D3C65"/>
    <w:rsid w:val="006E1DB9"/>
    <w:rsid w:val="00700306"/>
    <w:rsid w:val="0070376F"/>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D714B"/>
    <w:rsid w:val="0093493D"/>
    <w:rsid w:val="009364C2"/>
    <w:rsid w:val="009424FF"/>
    <w:rsid w:val="00970536"/>
    <w:rsid w:val="00984DCB"/>
    <w:rsid w:val="0099221A"/>
    <w:rsid w:val="009B1C87"/>
    <w:rsid w:val="009B502C"/>
    <w:rsid w:val="009C15BC"/>
    <w:rsid w:val="009D4C7D"/>
    <w:rsid w:val="009E78A1"/>
    <w:rsid w:val="009F2CC2"/>
    <w:rsid w:val="00A16D5C"/>
    <w:rsid w:val="00A22114"/>
    <w:rsid w:val="00A3452C"/>
    <w:rsid w:val="00A36BA5"/>
    <w:rsid w:val="00A451AB"/>
    <w:rsid w:val="00A56748"/>
    <w:rsid w:val="00AA0725"/>
    <w:rsid w:val="00AA3DB1"/>
    <w:rsid w:val="00AC05DA"/>
    <w:rsid w:val="00AF1D59"/>
    <w:rsid w:val="00AF6ACD"/>
    <w:rsid w:val="00B43085"/>
    <w:rsid w:val="00B515BD"/>
    <w:rsid w:val="00B5217D"/>
    <w:rsid w:val="00B534B5"/>
    <w:rsid w:val="00BA0F3D"/>
    <w:rsid w:val="00BB766A"/>
    <w:rsid w:val="00BC1718"/>
    <w:rsid w:val="00BC5F00"/>
    <w:rsid w:val="00BE32F9"/>
    <w:rsid w:val="00BE4734"/>
    <w:rsid w:val="00C031CF"/>
    <w:rsid w:val="00C07229"/>
    <w:rsid w:val="00C2428B"/>
    <w:rsid w:val="00CB56EE"/>
    <w:rsid w:val="00CC2480"/>
    <w:rsid w:val="00CD4091"/>
    <w:rsid w:val="00CE2074"/>
    <w:rsid w:val="00D13338"/>
    <w:rsid w:val="00D14987"/>
    <w:rsid w:val="00D30543"/>
    <w:rsid w:val="00D3282C"/>
    <w:rsid w:val="00D366F3"/>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77AF3"/>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1884-E05F-4741-B58F-A98DD3D3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2367</Words>
  <Characters>1350</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2021-04-27T14:31:00Z</cp:lastPrinted>
  <dcterms:created xsi:type="dcterms:W3CDTF">2022-11-08T10:30:00Z</dcterms:created>
  <dcterms:modified xsi:type="dcterms:W3CDTF">2023-02-02T10:09:00Z</dcterms:modified>
</cp:coreProperties>
</file>