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E8" w:rsidRDefault="00B168E8" w:rsidP="00B168E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54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677F37" w:rsidRDefault="00677F37" w:rsidP="00B168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68E8" w:rsidRDefault="00677F37" w:rsidP="00B168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="00B168E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Підстави для відмови в участі у процедурі закупівлі</w:t>
      </w:r>
    </w:p>
    <w:tbl>
      <w:tblPr>
        <w:tblW w:w="10774" w:type="dxa"/>
        <w:tblInd w:w="-1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B168E8" w:rsidRPr="004549C5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E8" w:rsidRPr="00774478" w:rsidRDefault="00B168E8" w:rsidP="0066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E8" w:rsidRPr="00774478" w:rsidRDefault="00B168E8" w:rsidP="0066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  <w:p w:rsidR="00B168E8" w:rsidRPr="00774478" w:rsidRDefault="00B168E8" w:rsidP="0066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E8" w:rsidRPr="00774478" w:rsidRDefault="00B168E8" w:rsidP="0066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E8" w:rsidRPr="00774478" w:rsidRDefault="00B168E8" w:rsidP="0066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B168E8" w:rsidRPr="00774478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 пункту 44 Особливостей</w:t>
            </w: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168E8" w:rsidRPr="001071B3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2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168E8" w:rsidRPr="004549C5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3 пункту 44 Особливостей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закупівлі, фізичну особу, яка є учасником процедури закупівлі,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не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</w:tr>
      <w:tr w:rsidR="00B168E8" w:rsidRPr="00774478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суб’єкт господарювання (учасник процедури закупівлі) протягом останніх трьох років притягувався до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відповідальності за порушення, передбачене пунктом 4 частини другої статті 6, пунктом 1 статті 50 Закону України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«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Про захист економічної конкуренції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у вигляді вчинення антиконкурентних узгоджених дій, що стосуються спотворення результатів тендерів 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4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168E8" w:rsidRPr="004549C5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</w:t>
            </w:r>
            <w:r w:rsidRPr="00C95141">
              <w:rPr>
                <w:rFonts w:ascii="Times New Roman" w:hAnsi="Times New Roman"/>
                <w:i/>
                <w:sz w:val="24"/>
                <w:lang w:val="uk-UA"/>
              </w:rPr>
              <w:t xml:space="preserve"> 5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пункту 44 Особливостей</w:t>
            </w:r>
            <w:r w:rsidRPr="00C95141">
              <w:rPr>
                <w:rFonts w:ascii="Times New Roman" w:hAnsi="Times New Roman"/>
                <w:i/>
                <w:sz w:val="24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фізична особа, яка є учасником процедури закупівлі до кримінальної відповідальності не притягується, незнятої чи непогашеної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судимості не має та в розшуку не перебуває.</w:t>
            </w:r>
          </w:p>
        </w:tc>
      </w:tr>
      <w:tr w:rsidR="00B168E8" w:rsidRPr="004549C5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підпункт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 xml:space="preserve"> 6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пункту 44 Особливостей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учасника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B168E8" w:rsidRPr="00774478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закупівлі та/або з уповноваженою особою (особами), та/або з керівником замовника 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</w:t>
            </w:r>
            <w:r w:rsidRPr="00C95141">
              <w:rPr>
                <w:rFonts w:ascii="Times New Roman" w:hAnsi="Times New Roman"/>
                <w:i/>
                <w:sz w:val="24"/>
                <w:lang w:val="uk-UA"/>
              </w:rPr>
              <w:t xml:space="preserve"> 7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пункту 44 Особливостей</w:t>
            </w:r>
            <w:r w:rsidRPr="00C95141">
              <w:rPr>
                <w:rFonts w:ascii="Times New Roman" w:hAnsi="Times New Roman"/>
                <w:i/>
                <w:sz w:val="24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B168E8" w:rsidRPr="00774478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</w:t>
            </w:r>
            <w:r w:rsidRPr="00C95141">
              <w:rPr>
                <w:rFonts w:ascii="Times New Roman" w:hAnsi="Times New Roman"/>
                <w:i/>
                <w:sz w:val="24"/>
                <w:lang w:val="uk-UA"/>
              </w:rPr>
              <w:t xml:space="preserve"> 8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пункту 44 Особливостей</w:t>
            </w:r>
            <w:r w:rsidRPr="00C95141">
              <w:rPr>
                <w:rFonts w:ascii="Times New Roman" w:hAnsi="Times New Roman"/>
                <w:i/>
                <w:sz w:val="24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168E8" w:rsidRPr="00774478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</w:t>
            </w:r>
            <w:r w:rsidRPr="00C95141">
              <w:rPr>
                <w:rFonts w:ascii="Times New Roman" w:hAnsi="Times New Roman"/>
                <w:i/>
                <w:sz w:val="24"/>
                <w:lang w:val="uk-UA"/>
              </w:rPr>
              <w:t xml:space="preserve"> 9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пункту 44 Особливостей</w:t>
            </w:r>
            <w:r w:rsidRPr="00C95141">
              <w:rPr>
                <w:rFonts w:ascii="Times New Roman" w:hAnsi="Times New Roman"/>
                <w:i/>
                <w:sz w:val="24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168E8" w:rsidRPr="00774478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</w:t>
            </w:r>
            <w:r w:rsidRPr="00C95141">
              <w:rPr>
                <w:rFonts w:ascii="Times New Roman" w:hAnsi="Times New Roman"/>
                <w:i/>
                <w:sz w:val="24"/>
                <w:lang w:val="uk-UA"/>
              </w:rPr>
              <w:t xml:space="preserve"> 10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пункту 44 Особливостей</w:t>
            </w:r>
            <w:r w:rsidRPr="00C95141">
              <w:rPr>
                <w:rFonts w:ascii="Times New Roman" w:hAnsi="Times New Roman"/>
                <w:i/>
                <w:sz w:val="24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690483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B168E8" w:rsidRPr="00690483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168E8" w:rsidRPr="00774478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бенефіціарний</w:t>
            </w:r>
            <w:proofErr w:type="spellEnd"/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</w:t>
            </w:r>
            <w:r w:rsidRPr="00C95141">
              <w:rPr>
                <w:rFonts w:ascii="Times New Roman" w:hAnsi="Times New Roman"/>
                <w:i/>
                <w:sz w:val="24"/>
                <w:lang w:val="uk-UA"/>
              </w:rPr>
              <w:t xml:space="preserve"> 11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пункту 44 Особливостей</w:t>
            </w:r>
            <w:r w:rsidRPr="00C95141">
              <w:rPr>
                <w:rFonts w:ascii="Times New Roman" w:hAnsi="Times New Roman"/>
                <w:i/>
                <w:sz w:val="24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168E8" w:rsidRPr="004549C5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підпункт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 xml:space="preserve"> 12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пункту 44 Особливостей</w:t>
            </w:r>
            <w:r w:rsidRPr="00C95141">
              <w:rPr>
                <w:rFonts w:ascii="Times New Roman" w:hAnsi="Times New Roman"/>
                <w:i/>
                <w:sz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керівника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учасника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 фізичну особу, яка є учасником до кримінальної відповідальності не притягується, незнятої чи непогашеної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судимості не має та в розшуку не перебуває.</w:t>
            </w:r>
          </w:p>
        </w:tc>
      </w:tr>
      <w:tr w:rsidR="00B168E8" w:rsidRPr="004549C5" w:rsidTr="0066576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8E8" w:rsidRPr="00363150" w:rsidRDefault="00B168E8" w:rsidP="00665769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збитків. 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(абзац 14 пункту 44 Особливостей)</w:t>
            </w:r>
          </w:p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8" w:rsidRPr="00690483" w:rsidRDefault="00B168E8" w:rsidP="006657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часник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процедури закупівлі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має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надати:</w:t>
            </w:r>
          </w:p>
          <w:p w:rsidR="00B168E8" w:rsidRPr="00690483" w:rsidRDefault="00B168E8" w:rsidP="00B168E8">
            <w:pPr>
              <w:numPr>
                <w:ilvl w:val="0"/>
                <w:numId w:val="1"/>
              </w:numPr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B168E8" w:rsidRPr="00690483" w:rsidRDefault="00B168E8" w:rsidP="00665769">
            <w:pPr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учасник процедури закупівлі, що перебуває в обставинах, зазначених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 абзаці 14 пункту 44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Особливсотей</w:t>
            </w:r>
            <w:proofErr w:type="spellEnd"/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може надати підтвердження вжиття заходів для доведення своєї надійності, незважаючи на наявність відповідної підстави для відмови в участі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відкритих торгах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Для цього він повинен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E8" w:rsidRPr="00690483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B168E8" w:rsidRPr="00690483" w:rsidRDefault="00B168E8" w:rsidP="0066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168E8" w:rsidRPr="00690483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:rsidR="00B168E8" w:rsidRPr="00690483" w:rsidRDefault="00B168E8" w:rsidP="0066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168E8" w:rsidRPr="00774478" w:rsidRDefault="00B168E8" w:rsidP="0066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закупівлі, що перебуває в обставинах, зазначених </w:t>
            </w:r>
            <w:r w:rsidRPr="00CD42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абзаці 14 пункті 44 Особливостей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B168E8" w:rsidRDefault="00B168E8" w:rsidP="00B168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7F37" w:rsidRPr="00677F37" w:rsidRDefault="00677F37" w:rsidP="00677F3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67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95"/>
      </w:tblGrid>
      <w:tr w:rsidR="00677F37" w:rsidRPr="00677F37" w:rsidTr="00433883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F37" w:rsidRPr="00677F37" w:rsidRDefault="00677F37" w:rsidP="00677F3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677F37" w:rsidRPr="004549C5" w:rsidTr="00433883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F37" w:rsidRPr="00677F37" w:rsidRDefault="00677F37" w:rsidP="00677F3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F37" w:rsidRPr="00677F37" w:rsidRDefault="00677F37" w:rsidP="00677F3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77F37" w:rsidRPr="00677F37" w:rsidTr="00433883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1.1. Для юридичних осіб</w:t>
            </w:r>
          </w:p>
          <w:p w:rsidR="00677F37" w:rsidRPr="00677F37" w:rsidRDefault="00677F37" w:rsidP="00677F3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Копію виписки (свідоцтва) з Єдиного державного реєстру юридичних осіб та фізичних осіб-підприємців, або копію витягу з Єдиного державного реєстру юридичних осіб та фізичних осіб-підприємців.</w:t>
            </w:r>
          </w:p>
          <w:p w:rsidR="00677F37" w:rsidRPr="00677F37" w:rsidRDefault="00677F37" w:rsidP="00677F3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змінами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7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(в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їх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)</w:t>
            </w:r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іншого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установчого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документу. </w:t>
            </w:r>
          </w:p>
          <w:p w:rsidR="00677F37" w:rsidRPr="00677F37" w:rsidRDefault="00677F37" w:rsidP="00677F3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модельного статуту,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надати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такої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особи.</w:t>
            </w:r>
          </w:p>
          <w:p w:rsidR="00677F37" w:rsidRPr="00677F37" w:rsidRDefault="00677F37" w:rsidP="00677F3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У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була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здійснена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01.01.2016 року, то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надати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надаються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юридичною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особою державному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реєстратору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унікального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коду,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дає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доступу до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особи. В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унікальний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код, веб-сайт за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яким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перевірити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установчі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особи, дата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витягу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ініціали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особи.</w:t>
            </w:r>
          </w:p>
          <w:p w:rsidR="00677F37" w:rsidRPr="00677F37" w:rsidRDefault="00677F37" w:rsidP="00677F3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1.2. Для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фізичних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осіб-підприємців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:</w:t>
            </w:r>
          </w:p>
          <w:p w:rsidR="00677F37" w:rsidRPr="00677F37" w:rsidRDefault="00677F37" w:rsidP="00677F3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Копію виписки (свідоцтва) з Єдиного державного реєстру юридичних осіб та фізичних осіб-підприємців, або копію витягу з Єдиного державного реєстру юридичних осіб та фізичних осіб-підприємців.</w:t>
            </w:r>
          </w:p>
          <w:p w:rsidR="00677F37" w:rsidRPr="00677F37" w:rsidRDefault="00677F37" w:rsidP="00677F3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Сканована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копія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паспорту (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сторінки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або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іншого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документу,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передбаченого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статтею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13 Закону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Єдиний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демографічний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реєстр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підтверджують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громадянство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посвідчують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особу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її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спеціальний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статус»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20 листопада 2012 року № 5492-</w:t>
            </w:r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VI</w:t>
            </w:r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змінами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Якщо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паспорт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виданий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формі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картки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надаються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копії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обох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сторін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картки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довідку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місце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проживання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).</w:t>
            </w:r>
          </w:p>
          <w:p w:rsidR="00677F37" w:rsidRPr="00677F37" w:rsidRDefault="00677F37" w:rsidP="00677F3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присвоєння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ідентифікаційного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номера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реєстраційного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номеру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картки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платника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податків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*Для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фізичних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осіб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які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свої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релігійні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переконання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відмовилися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реєстраційного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номера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картки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платника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податків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повідомили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це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контролюючий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орган і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мають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відмітку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паспорті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необхідно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пояснюючий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лист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із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цього</w:t>
            </w:r>
            <w:proofErr w:type="spellEnd"/>
            <w:r w:rsidRPr="0067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</w:p>
        </w:tc>
      </w:tr>
      <w:tr w:rsidR="00677F37" w:rsidRPr="00677F37" w:rsidTr="0043388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F37" w:rsidRPr="00677F37" w:rsidRDefault="00677F37" w:rsidP="00677F3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F37" w:rsidRPr="00677F37" w:rsidRDefault="00677F37" w:rsidP="00677F3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677F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677F37" w:rsidRPr="004549C5" w:rsidTr="0043388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7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Підтвердження відповідності пропозиції Учасника необхідним технічним, якісним та кількісним характеристикам предмета закупівлі, у тому числі відповідній технічній специфікації (у разі потреби - планам, кресленням, малюнкам чи опису предмета закупівлі) у вигляді листа-</w:t>
            </w:r>
            <w:proofErr w:type="spellStart"/>
            <w:r w:rsidRPr="00677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гарантїї</w:t>
            </w:r>
            <w:proofErr w:type="spellEnd"/>
            <w:r w:rsidRPr="00677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наступного змісту: «Ми, </w:t>
            </w:r>
            <w:r w:rsidRPr="00677F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зазначити найменування Учасника</w:t>
            </w:r>
            <w:r w:rsidRPr="00677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в </w:t>
            </w:r>
            <w:proofErr w:type="spellStart"/>
            <w:r w:rsidRPr="00677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677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. Додатку 1 тендерної документації, а також підтверджуємо можливість поставки товару, у відповідності до вимог, визначених згідно з умовами тендерної документації</w:t>
            </w:r>
          </w:p>
        </w:tc>
      </w:tr>
      <w:tr w:rsidR="00677F37" w:rsidRPr="00677F37" w:rsidTr="00433883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F37" w:rsidRPr="00677F37" w:rsidRDefault="00677F37" w:rsidP="004549C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Цінову пропозицію згідно з Додатком </w:t>
            </w:r>
            <w:r w:rsidR="004549C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bookmarkStart w:id="0" w:name="_GoBack"/>
            <w:bookmarkEnd w:id="0"/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677F37" w:rsidRPr="00677F37" w:rsidTr="00433883">
        <w:trPr>
          <w:trHeight w:val="4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F37" w:rsidRPr="00677F37" w:rsidRDefault="00677F37" w:rsidP="00677F3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Проєкт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49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(лист - згода з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проєктом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договору у довільній формі)</w:t>
            </w:r>
          </w:p>
        </w:tc>
      </w:tr>
      <w:tr w:rsidR="00677F37" w:rsidRPr="00677F37" w:rsidTr="0043388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F37" w:rsidRPr="00677F37" w:rsidRDefault="00677F37" w:rsidP="00677F37">
            <w:pPr>
              <w:spacing w:line="240" w:lineRule="auto"/>
              <w:ind w:left="113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Лист-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згода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даних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або</w:t>
            </w:r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особу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призначена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677F37" w:rsidRPr="00677F37" w:rsidTr="00433883">
        <w:trPr>
          <w:trHeight w:val="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F37" w:rsidRPr="00677F37" w:rsidRDefault="00677F37" w:rsidP="00677F37">
            <w:pPr>
              <w:spacing w:line="240" w:lineRule="auto"/>
              <w:ind w:left="113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формі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якій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гарантує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7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умов договору.</w:t>
            </w:r>
          </w:p>
        </w:tc>
      </w:tr>
      <w:tr w:rsidR="00677F37" w:rsidRPr="00677F37" w:rsidTr="0043388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Учасники відповідають за зміст своїх тендерних пропозицій, та повинні дотримуватись норм чинного законодавства України, в тому числі: </w:t>
            </w:r>
          </w:p>
          <w:p w:rsidR="00677F37" w:rsidRPr="00677F37" w:rsidRDefault="00677F37" w:rsidP="00677F3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Закону України «Про санкції» від 14.08.2014р. № 1644-VII;</w:t>
            </w:r>
          </w:p>
          <w:p w:rsidR="00677F37" w:rsidRPr="00677F37" w:rsidRDefault="00677F37" w:rsidP="00677F3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14.10.2014р. № 1702-VII;</w:t>
            </w:r>
          </w:p>
          <w:p w:rsidR="00677F37" w:rsidRPr="00677F37" w:rsidRDefault="00677F37" w:rsidP="00677F3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</w:t>
            </w:r>
          </w:p>
          <w:p w:rsidR="00677F37" w:rsidRPr="00677F37" w:rsidRDefault="00677F37" w:rsidP="00677F3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Постанови Кабінету Міністрів України від 30 грудня 2015р.  № 1147 «Про заборону ввезення на митну територію України товарів, що походять з Російської Федерації», </w:t>
            </w:r>
          </w:p>
          <w:p w:rsidR="00677F37" w:rsidRPr="00677F37" w:rsidRDefault="00677F37" w:rsidP="00677F3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Указу Президента України від 15.05.2017р. №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</w:t>
            </w:r>
          </w:p>
          <w:p w:rsidR="00677F37" w:rsidRPr="00677F37" w:rsidRDefault="00677F37" w:rsidP="00677F3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Указу Президента від 21.06.2018 № 176/2018 «Про рішення Ради національної безпеки і оборони України від 21 червня 2018 року «Про застосування та внесення змін до персональних спеціальних економічних та інших обмежувальних заходів (санкцій)».</w:t>
            </w:r>
          </w:p>
          <w:p w:rsidR="00677F37" w:rsidRPr="00677F37" w:rsidRDefault="00677F37" w:rsidP="00677F3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підтвердження чого у складі пропозиції надається лист-гарантія, складена учасником в довільній формі, за підписом уповноваженої особи учасника та завірена печаткою (за наявності).</w:t>
            </w:r>
          </w:p>
        </w:tc>
      </w:tr>
      <w:tr w:rsidR="00677F37" w:rsidRPr="00677F37" w:rsidTr="0043388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pacing w:after="0" w:line="240" w:lineRule="auto"/>
              <w:ind w:right="120"/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677F37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</w:t>
            </w:r>
            <w:r w:rsidRPr="00677F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Відповідну інформацію про право підписання договору про закупівлю</w:t>
            </w:r>
          </w:p>
        </w:tc>
      </w:tr>
      <w:tr w:rsidR="00677F37" w:rsidRPr="00677F37" w:rsidTr="0043388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7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F37" w:rsidRPr="00677F37" w:rsidRDefault="00677F37" w:rsidP="00677F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77F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Переможець</w:t>
            </w:r>
            <w:r w:rsidRPr="0067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процедури закупівлі під час укладення договору про закупівлю повинен надати:</w:t>
            </w:r>
          </w:p>
          <w:p w:rsidR="00677F37" w:rsidRPr="00677F37" w:rsidRDefault="00677F37" w:rsidP="00677F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7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1) відповідну інформацію про право підписання договору про закупівлю;</w:t>
            </w:r>
          </w:p>
          <w:p w:rsidR="00677F37" w:rsidRPr="00677F37" w:rsidRDefault="00677F37" w:rsidP="00677F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7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677F37" w:rsidRPr="00677F37" w:rsidRDefault="00677F37" w:rsidP="00677F37">
            <w:pPr>
              <w:spacing w:after="0" w:line="240" w:lineRule="auto"/>
              <w:ind w:right="120"/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</w:tr>
    </w:tbl>
    <w:p w:rsidR="00677F37" w:rsidRPr="00677F37" w:rsidRDefault="00677F37" w:rsidP="00B168E8">
      <w:pPr>
        <w:jc w:val="both"/>
        <w:rPr>
          <w:rFonts w:ascii="Times New Roman" w:hAnsi="Times New Roman"/>
          <w:sz w:val="24"/>
          <w:szCs w:val="24"/>
        </w:rPr>
      </w:pPr>
    </w:p>
    <w:p w:rsidR="00677F37" w:rsidRDefault="00677F37" w:rsidP="00B168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7F37" w:rsidRDefault="00677F37" w:rsidP="00B168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8E8" w:rsidRDefault="00B168E8" w:rsidP="00B168E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41 Особливостей, а саме: учасник процедури закупівлі </w:t>
      </w:r>
      <w:r w:rsidRPr="00BE6E41">
        <w:rPr>
          <w:rFonts w:ascii="Times New Roman" w:hAnsi="Times New Roman"/>
          <w:sz w:val="24"/>
          <w:szCs w:val="24"/>
          <w:lang w:val="uk-UA"/>
        </w:rPr>
        <w:t xml:space="preserve"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BE6E41">
        <w:rPr>
          <w:rFonts w:ascii="Times New Roman" w:hAnsi="Times New Roman"/>
          <w:sz w:val="24"/>
          <w:szCs w:val="24"/>
          <w:lang w:val="uk-UA"/>
        </w:rPr>
        <w:t xml:space="preserve"> пункту 39 цих особливостей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68E8" w:rsidRDefault="00B168E8" w:rsidP="00B168E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95141">
        <w:rPr>
          <w:rFonts w:ascii="Times New Roman" w:hAnsi="Times New Roman"/>
          <w:sz w:val="24"/>
          <w:szCs w:val="24"/>
          <w:lang w:val="uk-UA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пунктом 44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</w:t>
      </w:r>
      <w:r>
        <w:rPr>
          <w:rFonts w:ascii="Times New Roman" w:hAnsi="Times New Roman"/>
          <w:sz w:val="24"/>
          <w:szCs w:val="24"/>
          <w:lang w:val="uk-UA"/>
        </w:rPr>
        <w:t xml:space="preserve">підпунктами </w:t>
      </w:r>
      <w:r w:rsidRPr="00C95141">
        <w:rPr>
          <w:rFonts w:ascii="Times New Roman" w:hAnsi="Times New Roman"/>
          <w:sz w:val="24"/>
          <w:szCs w:val="24"/>
          <w:lang w:val="uk-UA"/>
        </w:rPr>
        <w:t>3, 5, 6 і 12 та абзац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C95141">
        <w:rPr>
          <w:rFonts w:ascii="Times New Roman" w:hAnsi="Times New Roman"/>
          <w:sz w:val="24"/>
          <w:szCs w:val="24"/>
          <w:lang w:val="uk-UA"/>
        </w:rPr>
        <w:t xml:space="preserve"> чотирнадцятому пунктом 44 Особливостей замовник відхиляє його на підставі абзацу 3 підпункту 3 пункту 41 Особливостей, а саме: не надав у спосіб, зазначений в тендерній документації, документи, що підтверджують відсутність підстав, визначених пунктом 44 цих особливостей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68E8" w:rsidRDefault="00B168E8" w:rsidP="00B168E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95141">
        <w:rPr>
          <w:rFonts w:ascii="Times New Roman" w:hAnsi="Times New Roman" w:cs="Times New Roman"/>
          <w:sz w:val="24"/>
          <w:szCs w:val="24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(у разі застосування таких критеріїв до учасника процедури закупівлі)</w:t>
      </w:r>
      <w:r w:rsidRPr="00F8603F">
        <w:rPr>
          <w:rFonts w:ascii="Times New Roman" w:hAnsi="Times New Roman" w:cs="Times New Roman"/>
          <w:sz w:val="24"/>
          <w:szCs w:val="24"/>
          <w:lang w:val="uk-UA"/>
        </w:rPr>
        <w:t>, учасник підтверджує відсутність підстав для відмови в участі у процедурі закупівлі субпідрядника(</w:t>
      </w:r>
      <w:proofErr w:type="spellStart"/>
      <w:r w:rsidRPr="00F8603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F8603F">
        <w:rPr>
          <w:rFonts w:ascii="Times New Roman" w:hAnsi="Times New Roman" w:cs="Times New Roman"/>
          <w:sz w:val="24"/>
          <w:szCs w:val="24"/>
          <w:lang w:val="uk-UA"/>
        </w:rPr>
        <w:t>) / співвиконавця(</w:t>
      </w:r>
      <w:proofErr w:type="spellStart"/>
      <w:r w:rsidRPr="00F8603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F8603F">
        <w:rPr>
          <w:rFonts w:ascii="Times New Roman" w:hAnsi="Times New Roman" w:cs="Times New Roman"/>
          <w:sz w:val="24"/>
          <w:szCs w:val="24"/>
          <w:lang w:val="uk-UA"/>
        </w:rPr>
        <w:t xml:space="preserve">), визначених </w:t>
      </w:r>
      <w:r>
        <w:rPr>
          <w:rFonts w:ascii="Times New Roman" w:hAnsi="Times New Roman" w:cs="Times New Roman"/>
          <w:sz w:val="24"/>
          <w:szCs w:val="24"/>
          <w:lang w:val="uk-UA"/>
        </w:rPr>
        <w:t>пунктом 44 Особливостей</w:t>
      </w:r>
      <w:r w:rsidRPr="00F8603F">
        <w:rPr>
          <w:rFonts w:ascii="Times New Roman" w:hAnsi="Times New Roman" w:cs="Times New Roman"/>
          <w:sz w:val="24"/>
          <w:szCs w:val="24"/>
          <w:lang w:val="uk-UA"/>
        </w:rPr>
        <w:t>, шляхом самостійного декларування відсутності таких підстави в електронній системі закупівель під час подання тендерної пропозиції.</w:t>
      </w:r>
    </w:p>
    <w:sectPr w:rsidR="00B168E8" w:rsidSect="006D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E8"/>
    <w:rsid w:val="004549C5"/>
    <w:rsid w:val="00677F37"/>
    <w:rsid w:val="006D5483"/>
    <w:rsid w:val="00860255"/>
    <w:rsid w:val="00914E25"/>
    <w:rsid w:val="00B168E8"/>
    <w:rsid w:val="00C95921"/>
    <w:rsid w:val="00F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EBA82-630B-4DAE-8F8C-950E44B1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12220</Words>
  <Characters>6966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2023-03-09T10:35:00Z</dcterms:created>
  <dcterms:modified xsi:type="dcterms:W3CDTF">2023-03-15T13:42:00Z</dcterms:modified>
</cp:coreProperties>
</file>