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8F20DF">
        <w:rPr>
          <w:rFonts w:ascii="Times New Roman" w:eastAsia="Times New Roman" w:hAnsi="Times New Roman" w:cs="Times New Roman"/>
          <w:b/>
          <w:bCs/>
          <w:i/>
          <w:iCs/>
          <w:color w:val="000000"/>
          <w:sz w:val="24"/>
          <w:szCs w:val="24"/>
          <w:lang w:val="uk-UA" w:eastAsia="ru-RU"/>
        </w:rPr>
        <w:t>“Про</w:t>
      </w:r>
      <w:proofErr w:type="spellEnd"/>
      <w:r w:rsidRPr="008F20DF">
        <w:rPr>
          <w:rFonts w:ascii="Times New Roman" w:eastAsia="Times New Roman" w:hAnsi="Times New Roman" w:cs="Times New Roman"/>
          <w:b/>
          <w:bCs/>
          <w:i/>
          <w:iCs/>
          <w:color w:val="000000"/>
          <w:sz w:val="24"/>
          <w:szCs w:val="24"/>
          <w:lang w:val="uk-UA" w:eastAsia="ru-RU"/>
        </w:rPr>
        <w:t xml:space="preserve"> публічні </w:t>
      </w:r>
      <w:proofErr w:type="spellStart"/>
      <w:r w:rsidRPr="008F20DF">
        <w:rPr>
          <w:rFonts w:ascii="Times New Roman" w:eastAsia="Times New Roman" w:hAnsi="Times New Roman" w:cs="Times New Roman"/>
          <w:b/>
          <w:bCs/>
          <w:i/>
          <w:iCs/>
          <w:color w:val="000000"/>
          <w:sz w:val="24"/>
          <w:szCs w:val="24"/>
          <w:lang w:val="uk-UA" w:eastAsia="ru-RU"/>
        </w:rPr>
        <w:t>закупівлі”</w:t>
      </w:r>
      <w:proofErr w:type="spellEnd"/>
      <w:r w:rsidRPr="008F20DF">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829"/>
        <w:gridCol w:w="3240"/>
        <w:gridCol w:w="5820"/>
      </w:tblGrid>
      <w:tr w:rsidR="008804FF" w:rsidRPr="0020705A" w:rsidTr="00E235C9">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rsidTr="00E235C9">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w:t>
            </w:r>
            <w:proofErr w:type="spellStart"/>
            <w:r w:rsidRPr="0020705A">
              <w:rPr>
                <w:rFonts w:ascii="Times New Roman" w:eastAsia="Times New Roman" w:hAnsi="Times New Roman"/>
                <w:color w:val="000000"/>
                <w:sz w:val="24"/>
                <w:szCs w:val="24"/>
                <w:lang w:eastAsia="ru-RU"/>
              </w:rPr>
              <w:t>ДК</w:t>
            </w:r>
            <w:proofErr w:type="spellEnd"/>
            <w:r w:rsidRPr="0020705A">
              <w:rPr>
                <w:rFonts w:ascii="Times New Roman" w:eastAsia="Times New Roman" w:hAnsi="Times New Roman"/>
                <w:color w:val="000000"/>
                <w:sz w:val="24"/>
                <w:szCs w:val="24"/>
                <w:lang w:eastAsia="ru-RU"/>
              </w:rPr>
              <w:t xml:space="preserve">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статті 17 Закону </w:t>
      </w:r>
      <w:proofErr w:type="spellStart"/>
      <w:r w:rsidRPr="0020705A">
        <w:rPr>
          <w:rFonts w:ascii="Times New Roman" w:eastAsia="Times New Roman" w:hAnsi="Times New Roman" w:cs="Times New Roman"/>
          <w:b/>
          <w:bCs/>
          <w:color w:val="000000"/>
          <w:sz w:val="24"/>
          <w:szCs w:val="24"/>
          <w:lang w:val="uk-UA" w:eastAsia="ru-RU"/>
        </w:rPr>
        <w:t>“Про</w:t>
      </w:r>
      <w:proofErr w:type="spellEnd"/>
      <w:r w:rsidRPr="0020705A">
        <w:rPr>
          <w:rFonts w:ascii="Times New Roman" w:eastAsia="Times New Roman" w:hAnsi="Times New Roman" w:cs="Times New Roman"/>
          <w:b/>
          <w:bCs/>
          <w:color w:val="000000"/>
          <w:sz w:val="24"/>
          <w:szCs w:val="24"/>
          <w:lang w:val="uk-UA" w:eastAsia="ru-RU"/>
        </w:rPr>
        <w:t xml:space="preserve"> публічні </w:t>
      </w:r>
      <w:proofErr w:type="spellStart"/>
      <w:r w:rsidRPr="0020705A">
        <w:rPr>
          <w:rFonts w:ascii="Times New Roman" w:eastAsia="Times New Roman" w:hAnsi="Times New Roman" w:cs="Times New Roman"/>
          <w:b/>
          <w:bCs/>
          <w:color w:val="000000"/>
          <w:sz w:val="24"/>
          <w:szCs w:val="24"/>
          <w:lang w:val="uk-UA" w:eastAsia="ru-RU"/>
        </w:rPr>
        <w:t>закупівлі”</w:t>
      </w:r>
      <w:proofErr w:type="spellEnd"/>
      <w:r w:rsidRPr="0020705A">
        <w:rPr>
          <w:rFonts w:ascii="Times New Roman" w:eastAsia="Times New Roman" w:hAnsi="Times New Roman" w:cs="Times New Roman"/>
          <w:b/>
          <w:bCs/>
          <w:color w:val="000000"/>
          <w:sz w:val="24"/>
          <w:szCs w:val="24"/>
          <w:lang w:val="uk-UA" w:eastAsia="ru-RU"/>
        </w:rPr>
        <w:t xml:space="preserve"> (далі – Закон).****</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BA1063">
        <w:rPr>
          <w:rFonts w:ascii="Times New Roman" w:eastAsia="Times New Roman" w:hAnsi="Times New Roman"/>
          <w:b/>
          <w:bCs/>
          <w:i/>
          <w:iCs/>
          <w:sz w:val="24"/>
          <w:szCs w:val="24"/>
        </w:rPr>
        <w:t>проставлення</w:t>
      </w:r>
      <w:proofErr w:type="spellEnd"/>
      <w:r w:rsidRPr="00BA1063">
        <w:rPr>
          <w:rFonts w:ascii="Times New Roman" w:eastAsia="Times New Roman" w:hAnsi="Times New Roman"/>
          <w:b/>
          <w:bCs/>
          <w:i/>
          <w:iCs/>
          <w:sz w:val="24"/>
          <w:szCs w:val="24"/>
        </w:rPr>
        <w:t xml:space="preserve">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b/>
          <w:color w:val="000000"/>
          <w:sz w:val="24"/>
          <w:szCs w:val="24"/>
        </w:rPr>
        <w:lastRenderedPageBreak/>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w:t>
      </w:r>
      <w:proofErr w:type="gramStart"/>
      <w:r w:rsidRPr="008027AF">
        <w:rPr>
          <w:rFonts w:ascii="Times New Roman" w:eastAsia="Times New Roman" w:hAnsi="Times New Roman" w:cs="Times New Roman"/>
          <w:sz w:val="24"/>
          <w:szCs w:val="24"/>
          <w:highlight w:val="white"/>
        </w:rPr>
        <w:t>вл</w:t>
      </w:r>
      <w:proofErr w:type="gramEnd"/>
      <w:r w:rsidRPr="008027AF">
        <w:rPr>
          <w:rFonts w:ascii="Times New Roman" w:eastAsia="Times New Roman" w:hAnsi="Times New Roman" w:cs="Times New Roman"/>
          <w:sz w:val="24"/>
          <w:szCs w:val="24"/>
          <w:highlight w:val="white"/>
        </w:rPr>
        <w:t>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w:t>
      </w:r>
      <w:proofErr w:type="gramStart"/>
      <w:r w:rsidRPr="00827555">
        <w:rPr>
          <w:rFonts w:ascii="Times New Roman" w:eastAsia="Times New Roman" w:hAnsi="Times New Roman" w:cs="Times New Roman"/>
          <w:b/>
          <w:sz w:val="24"/>
          <w:szCs w:val="24"/>
        </w:rPr>
        <w:t>вл</w:t>
      </w:r>
      <w:proofErr w:type="gramEnd"/>
      <w:r w:rsidRPr="00827555">
        <w:rPr>
          <w:rFonts w:ascii="Times New Roman" w:eastAsia="Times New Roman" w:hAnsi="Times New Roman" w:cs="Times New Roman"/>
          <w:b/>
          <w:sz w:val="24"/>
          <w:szCs w:val="24"/>
        </w:rPr>
        <w:t>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w:t>
      </w:r>
      <w:proofErr w:type="spellStart"/>
      <w:r w:rsidRPr="006106B5">
        <w:rPr>
          <w:rFonts w:ascii="Times New Roman" w:eastAsia="Times New Roman" w:hAnsi="Times New Roman" w:cs="Times New Roman"/>
          <w:b/>
          <w:sz w:val="24"/>
          <w:szCs w:val="24"/>
        </w:rPr>
        <w:t>і</w:t>
      </w:r>
      <w:proofErr w:type="spellEnd"/>
      <w:r w:rsidRPr="006106B5">
        <w:rPr>
          <w:rFonts w:ascii="Times New Roman" w:eastAsia="Times New Roman" w:hAnsi="Times New Roman" w:cs="Times New Roman"/>
          <w:b/>
          <w:sz w:val="24"/>
          <w:szCs w:val="24"/>
        </w:rPr>
        <w:t xml:space="preserve">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w:t>
      </w:r>
      <w:proofErr w:type="gramStart"/>
      <w:r w:rsidRPr="006106B5">
        <w:rPr>
          <w:rFonts w:ascii="Times New Roman" w:eastAsia="Times New Roman" w:hAnsi="Times New Roman" w:cs="Times New Roman"/>
          <w:b/>
          <w:sz w:val="24"/>
          <w:szCs w:val="24"/>
        </w:rPr>
        <w:t>другою</w:t>
      </w:r>
      <w:proofErr w:type="gram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113"/>
        <w:gridCol w:w="4740"/>
      </w:tblGrid>
      <w:tr w:rsidR="008027AF" w:rsidRPr="008027AF" w:rsidTr="00E235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235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235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7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8027AF" w:rsidRPr="008027AF" w:rsidRDefault="008027AF" w:rsidP="00511BD5">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8027AF">
              <w:rPr>
                <w:rFonts w:ascii="Times New Roman" w:eastAsia="Times New Roman" w:hAnsi="Times New Roman"/>
                <w:b/>
                <w:color w:val="000000"/>
                <w:sz w:val="24"/>
                <w:szCs w:val="24"/>
              </w:rPr>
              <w:lastRenderedPageBreak/>
              <w:t xml:space="preserve">інформацію про  відсутність судимості або обмежень, передбачених кримінальним процесуальним законодавством України щодо фізичної особи, яка є </w:t>
            </w:r>
            <w:r w:rsidR="00511BD5">
              <w:rPr>
                <w:rFonts w:ascii="Times New Roman" w:eastAsia="Times New Roman" w:hAnsi="Times New Roman"/>
                <w:b/>
                <w:color w:val="000000"/>
                <w:sz w:val="24"/>
                <w:szCs w:val="24"/>
              </w:rPr>
              <w:t xml:space="preserve">службовою (посадовою) особою </w:t>
            </w:r>
            <w:r w:rsidR="00511BD5" w:rsidRPr="002C0873">
              <w:rPr>
                <w:rFonts w:ascii="Times New Roman" w:eastAsia="Times New Roman" w:hAnsi="Times New Roman"/>
                <w:sz w:val="24"/>
                <w:szCs w:val="24"/>
                <w:highlight w:val="white"/>
              </w:rPr>
              <w:t>учасника процедури закупівлі, яку уповноважено учасником представляти його інтереси під час проведення процедури закупівлі</w:t>
            </w:r>
            <w:r w:rsidRPr="008027AF">
              <w:rPr>
                <w:rFonts w:ascii="Times New Roman" w:eastAsia="Times New Roman" w:hAnsi="Times New Roman"/>
                <w:b/>
                <w:color w:val="000000"/>
                <w:sz w:val="24"/>
                <w:szCs w:val="24"/>
              </w:rPr>
              <w:t xml:space="preserve">.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rsidTr="00E235C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27AF">
              <w:rPr>
                <w:rFonts w:ascii="Times New Roman" w:eastAsia="Times New Roman" w:hAnsi="Times New Roman"/>
                <w:b/>
                <w:color w:val="000000"/>
                <w:sz w:val="24"/>
                <w:szCs w:val="24"/>
              </w:rPr>
              <w:t>(пункт 12 частини 1 статті 17 Закону)</w:t>
            </w:r>
          </w:p>
        </w:tc>
        <w:tc>
          <w:tcPr>
            <w:tcW w:w="47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235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B14104">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xml:space="preserve">, Переможець закупівлі додатково </w:t>
      </w:r>
      <w:proofErr w:type="spellStart"/>
      <w:r w:rsidR="00176AA9">
        <w:rPr>
          <w:rFonts w:ascii="Times New Roman" w:eastAsia="Times New Roman" w:hAnsi="Times New Roman"/>
          <w:i/>
          <w:iCs/>
          <w:sz w:val="24"/>
          <w:szCs w:val="24"/>
          <w:lang w:eastAsia="uk-UA"/>
        </w:rPr>
        <w:t>надаєдокументальне</w:t>
      </w:r>
      <w:proofErr w:type="spellEnd"/>
      <w:r w:rsidR="00176AA9">
        <w:rPr>
          <w:rFonts w:ascii="Times New Roman" w:eastAsia="Times New Roman" w:hAnsi="Times New Roman"/>
          <w:i/>
          <w:iCs/>
          <w:sz w:val="24"/>
          <w:szCs w:val="24"/>
          <w:lang w:eastAsia="uk-UA"/>
        </w:rPr>
        <w:t xml:space="preserve">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tblPr>
      <w:tblGrid>
        <w:gridCol w:w="587"/>
        <w:gridCol w:w="4427"/>
        <w:gridCol w:w="4605"/>
      </w:tblGrid>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E310C8">
            <w:pPr>
              <w:spacing w:after="0" w:line="240" w:lineRule="auto"/>
              <w:jc w:val="both"/>
              <w:rPr>
                <w:rFonts w:ascii="Times New Roman" w:eastAsia="Times New Roman" w:hAnsi="Times New Roman"/>
                <w:b/>
                <w:color w:val="000000"/>
                <w:sz w:val="24"/>
                <w:szCs w:val="24"/>
              </w:rPr>
            </w:pPr>
          </w:p>
          <w:p w:rsidR="00E235C9" w:rsidRDefault="00E235C9" w:rsidP="00E310C8">
            <w:pPr>
              <w:spacing w:after="0" w:line="240" w:lineRule="auto"/>
              <w:jc w:val="both"/>
              <w:rPr>
                <w:rFonts w:ascii="Times New Roman" w:eastAsia="Times New Roman" w:hAnsi="Times New Roman"/>
                <w:b/>
                <w:color w:val="000000"/>
                <w:sz w:val="24"/>
                <w:szCs w:val="24"/>
              </w:rPr>
            </w:pPr>
          </w:p>
          <w:p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rsidTr="00E235C9">
        <w:trPr>
          <w:trHeight w:val="21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8027AF">
              <w:rPr>
                <w:rFonts w:ascii="Times New Roman" w:eastAsia="Times New Roman" w:hAnsi="Times New Roman"/>
                <w:color w:val="000000"/>
                <w:sz w:val="24"/>
                <w:szCs w:val="24"/>
              </w:rPr>
              <w:lastRenderedPageBreak/>
              <w:t>незважаючи на наявність відповідної підстави для відмови в участі у процедурі закупівлі.</w:t>
            </w:r>
          </w:p>
        </w:tc>
      </w:tr>
    </w:tbl>
    <w:p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rsidR="008027AF" w:rsidRPr="008027AF" w:rsidRDefault="008027AF" w:rsidP="001A68A5">
      <w:pPr>
        <w:spacing w:after="0" w:line="240" w:lineRule="auto"/>
        <w:jc w:val="both"/>
        <w:rPr>
          <w:rFonts w:ascii="Times New Roman" w:eastAsia="Times New Roman" w:hAnsi="Times New Roman"/>
          <w:b/>
          <w:bCs/>
          <w:sz w:val="24"/>
          <w:szCs w:val="24"/>
          <w:lang w:eastAsia="ru-RU"/>
        </w:rPr>
      </w:pPr>
    </w:p>
    <w:p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w:t>
      </w:r>
      <w:r w:rsidR="00B14104">
        <w:rPr>
          <w:rFonts w:ascii="Times New Roman" w:eastAsia="Times New Roman" w:hAnsi="Times New Roman"/>
          <w:b/>
          <w:bCs/>
          <w:color w:val="000000"/>
          <w:sz w:val="24"/>
          <w:szCs w:val="24"/>
          <w:lang w:eastAsia="ru-RU"/>
        </w:rPr>
        <w:t xml:space="preserve"> </w:t>
      </w:r>
      <w:r w:rsidRPr="00145A40">
        <w:rPr>
          <w:rFonts w:ascii="Times New Roman" w:eastAsia="Times New Roman" w:hAnsi="Times New Roman"/>
          <w:b/>
          <w:bCs/>
          <w:color w:val="000000"/>
          <w:sz w:val="24"/>
          <w:szCs w:val="24"/>
          <w:lang w:eastAsia="ru-RU"/>
        </w:rPr>
        <w:t>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667"/>
        <w:gridCol w:w="8952"/>
      </w:tblGrid>
      <w:tr w:rsidR="00B31AD9" w:rsidRPr="00145A40"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proofErr w:type="spellStart"/>
            <w:r w:rsidRPr="00E40A10">
              <w:rPr>
                <w:rStyle w:val="a5"/>
                <w:rFonts w:ascii="Times New Roman" w:hAnsi="Times New Roman"/>
                <w:sz w:val="24"/>
                <w:szCs w:val="24"/>
              </w:rPr>
              <w:t>законом.</w:t>
            </w:r>
            <w:r w:rsidRPr="000421F4">
              <w:rPr>
                <w:rStyle w:val="a5"/>
                <w:rFonts w:ascii="Times New Roman" w:hAnsi="Times New Roman"/>
                <w:i/>
                <w:iCs/>
                <w:sz w:val="24"/>
                <w:szCs w:val="24"/>
              </w:rPr>
              <w:t>Замість</w:t>
            </w:r>
            <w:proofErr w:type="spellEnd"/>
            <w:r w:rsidRPr="000421F4">
              <w:rPr>
                <w:rStyle w:val="a5"/>
                <w:rFonts w:ascii="Times New Roman" w:hAnsi="Times New Roman"/>
                <w:i/>
                <w:iCs/>
                <w:sz w:val="24"/>
                <w:szCs w:val="24"/>
              </w:rPr>
              <w:t xml:space="preserve"> довідки довільної форми учасник може надати чинну ліцензію або документ дозвільного </w:t>
            </w:r>
            <w:proofErr w:type="spellStart"/>
            <w:r w:rsidRPr="000421F4">
              <w:rPr>
                <w:rStyle w:val="a5"/>
                <w:rFonts w:ascii="Times New Roman" w:hAnsi="Times New Roman"/>
                <w:i/>
                <w:iCs/>
                <w:sz w:val="24"/>
                <w:szCs w:val="24"/>
              </w:rPr>
              <w:t>характеру</w:t>
            </w:r>
            <w:r>
              <w:rPr>
                <w:rStyle w:val="a5"/>
                <w:rFonts w:ascii="Times New Roman" w:hAnsi="Times New Roman"/>
                <w:i/>
                <w:iCs/>
                <w:color w:val="000000" w:themeColor="text1"/>
                <w:sz w:val="24"/>
                <w:szCs w:val="24"/>
              </w:rPr>
              <w:t>або</w:t>
            </w:r>
            <w:proofErr w:type="spellEnd"/>
            <w:r>
              <w:rPr>
                <w:rStyle w:val="a5"/>
                <w:rFonts w:ascii="Times New Roman" w:hAnsi="Times New Roman"/>
                <w:i/>
                <w:iCs/>
                <w:color w:val="000000" w:themeColor="text1"/>
                <w:sz w:val="24"/>
                <w:szCs w:val="24"/>
              </w:rPr>
              <w:t xml:space="preserve"> відповідну Постанову НКРЕКП.</w:t>
            </w:r>
          </w:p>
        </w:tc>
      </w:tr>
      <w:tr w:rsidR="00B31AD9"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 xml:space="preserve">та </w:t>
            </w:r>
            <w:proofErr w:type="spellStart"/>
            <w:r w:rsidRPr="00FB03D6">
              <w:rPr>
                <w:rFonts w:ascii="Times New Roman" w:eastAsia="Times New Roman" w:hAnsi="Times New Roman"/>
                <w:color w:val="000000"/>
                <w:lang w:eastAsia="ru-RU"/>
              </w:rPr>
              <w:t>кол-центр</w:t>
            </w:r>
            <w:r>
              <w:rPr>
                <w:rFonts w:ascii="Times New Roman" w:eastAsia="Times New Roman" w:hAnsi="Times New Roman"/>
                <w:color w:val="000000"/>
                <w:lang w:eastAsia="ru-RU"/>
              </w:rPr>
              <w:t>у</w:t>
            </w:r>
            <w:proofErr w:type="spellEnd"/>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03D6">
              <w:rPr>
                <w:rFonts w:ascii="Times New Roman" w:eastAsia="Times New Roman" w:hAnsi="Times New Roman"/>
                <w:lang w:eastAsia="uk-UA"/>
              </w:rPr>
              <w:t>кол-центрами</w:t>
            </w:r>
            <w:proofErr w:type="spellEnd"/>
            <w:r w:rsidRPr="00FB03D6">
              <w:rPr>
                <w:rFonts w:ascii="Times New Roman" w:eastAsia="Times New Roman" w:hAnsi="Times New Roman"/>
                <w:lang w:eastAsia="uk-UA"/>
              </w:rPr>
              <w:t>»  № 373 від 12.06.2018 р (зі змінами)</w:t>
            </w:r>
            <w:r>
              <w:rPr>
                <w:rFonts w:ascii="Times New Roman" w:eastAsia="Times New Roman" w:hAnsi="Times New Roman"/>
                <w:lang w:eastAsia="uk-UA"/>
              </w:rPr>
              <w:t>.</w:t>
            </w:r>
          </w:p>
        </w:tc>
      </w:tr>
      <w:tr w:rsidR="00B31AD9"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0E5464">
              <w:rPr>
                <w:rFonts w:ascii="Times New Roman" w:eastAsia="Times New Roman" w:hAnsi="Times New Roman"/>
                <w:color w:val="000000"/>
                <w:sz w:val="24"/>
                <w:szCs w:val="24"/>
                <w:lang w:eastAsia="ru-RU"/>
              </w:rPr>
              <w:t xml:space="preserve">укладено </w:t>
            </w:r>
            <w:proofErr w:type="spellStart"/>
            <w:r w:rsidRPr="000E5464">
              <w:rPr>
                <w:rFonts w:ascii="Times New Roman" w:eastAsia="Times New Roman" w:hAnsi="Times New Roman"/>
                <w:color w:val="000000"/>
                <w:sz w:val="24"/>
                <w:szCs w:val="24"/>
                <w:lang w:eastAsia="ru-RU"/>
              </w:rPr>
              <w:t>договориелектропостачальника</w:t>
            </w:r>
            <w:proofErr w:type="spellEnd"/>
            <w:r w:rsidRPr="000E546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2"/>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proofErr w:type="spellStart"/>
            <w:r w:rsidRPr="000E5464">
              <w:rPr>
                <w:rFonts w:ascii="Times New Roman" w:eastAsia="Times New Roman" w:hAnsi="Times New Roman"/>
                <w:sz w:val="24"/>
                <w:szCs w:val="24"/>
                <w:lang w:eastAsia="uk-UA"/>
              </w:rPr>
              <w:t>створення</w:t>
            </w:r>
            <w:r w:rsidRPr="000E5464">
              <w:rPr>
                <w:rFonts w:ascii="Times New Roman" w:eastAsia="Times New Roman" w:hAnsi="Times New Roman"/>
                <w:color w:val="000000"/>
                <w:sz w:val="24"/>
                <w:szCs w:val="24"/>
                <w:lang w:eastAsia="ru-RU"/>
              </w:rPr>
              <w:t>Центру</w:t>
            </w:r>
            <w:proofErr w:type="spellEnd"/>
            <w:r w:rsidRPr="000E5464">
              <w:rPr>
                <w:rFonts w:ascii="Times New Roman" w:eastAsia="Times New Roman" w:hAnsi="Times New Roman"/>
                <w:color w:val="000000"/>
                <w:sz w:val="24"/>
                <w:szCs w:val="24"/>
                <w:lang w:eastAsia="ru-RU"/>
              </w:rPr>
              <w:t xml:space="preserve">  обслуговування споживачів </w:t>
            </w:r>
            <w:r w:rsidRPr="000E5464">
              <w:rPr>
                <w:rFonts w:ascii="Times New Roman" w:eastAsia="Times New Roman" w:hAnsi="Times New Roman"/>
                <w:color w:val="000000"/>
                <w:sz w:val="24"/>
                <w:szCs w:val="24"/>
                <w:lang w:eastAsia="ru-RU"/>
              </w:rPr>
              <w:lastRenderedPageBreak/>
              <w:t xml:space="preserve">(клієнтів),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rsidTr="00E235C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w:t>
            </w:r>
            <w:proofErr w:type="spellStart"/>
            <w:r>
              <w:rPr>
                <w:rFonts w:ascii="Times New Roman" w:eastAsia="Times New Roman" w:hAnsi="Times New Roman"/>
                <w:sz w:val="24"/>
                <w:szCs w:val="24"/>
                <w:lang w:eastAsia="uk-UA"/>
              </w:rPr>
              <w:t>кол-центр</w:t>
            </w:r>
            <w:proofErr w:type="spellEnd"/>
            <w:r>
              <w:rPr>
                <w:rFonts w:ascii="Times New Roman" w:eastAsia="Times New Roman" w:hAnsi="Times New Roman"/>
                <w:sz w:val="24"/>
                <w:szCs w:val="24"/>
                <w:lang w:eastAsia="uk-UA"/>
              </w:rPr>
              <w:t xml:space="preserve">,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кол-центрами</w:t>
            </w:r>
            <w:proofErr w:type="spellEnd"/>
            <w:r w:rsidRPr="001459B2">
              <w:rPr>
                <w:rFonts w:ascii="Times New Roman" w:eastAsia="Times New Roman" w:hAnsi="Times New Roman"/>
                <w:bCs/>
                <w:sz w:val="24"/>
                <w:szCs w:val="24"/>
                <w:lang w:eastAsia="uk-UA"/>
              </w:rPr>
              <w:t>»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w:t>
            </w:r>
            <w:proofErr w:type="spellStart"/>
            <w:r w:rsidRPr="001459B2">
              <w:rPr>
                <w:rFonts w:ascii="Times New Roman" w:eastAsia="Times New Roman" w:hAnsi="Times New Roman"/>
                <w:sz w:val="24"/>
                <w:szCs w:val="24"/>
                <w:lang w:eastAsia="uk-UA"/>
              </w:rPr>
              <w:t>електропостачальника</w:t>
            </w:r>
            <w:proofErr w:type="spellEnd"/>
            <w:r w:rsidRPr="001459B2">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кол-центру</w:t>
            </w:r>
            <w:proofErr w:type="spellEnd"/>
            <w:r>
              <w:rPr>
                <w:rFonts w:ascii="Times New Roman" w:eastAsia="Times New Roman" w:hAnsi="Times New Roman"/>
                <w:sz w:val="24"/>
                <w:szCs w:val="24"/>
                <w:lang w:eastAsia="uk-UA"/>
              </w:rPr>
              <w:t xml:space="preserve">,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кол-центрами</w:t>
            </w:r>
            <w:proofErr w:type="spellEnd"/>
            <w:r w:rsidRPr="001459B2">
              <w:rPr>
                <w:rFonts w:ascii="Times New Roman" w:eastAsia="Times New Roman" w:hAnsi="Times New Roman"/>
                <w:bCs/>
                <w:sz w:val="24"/>
                <w:szCs w:val="24"/>
                <w:lang w:eastAsia="uk-UA"/>
              </w:rPr>
              <w:t>»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rsidTr="00E235C9">
        <w:trPr>
          <w:trHeight w:val="31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B31AD9">
              <w:rPr>
                <w:rFonts w:ascii="Times New Roman" w:eastAsia="Times New Roman" w:hAnsi="Times New Roman"/>
                <w:b/>
                <w:bCs/>
                <w:color w:val="000000"/>
                <w:sz w:val="24"/>
                <w:szCs w:val="24"/>
                <w:lang w:eastAsia="ru-RU"/>
              </w:rPr>
              <w:t>.</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p>
          <w:p w:rsidR="00B31AD9" w:rsidRDefault="00B31AD9" w:rsidP="00D82D96">
            <w:pPr>
              <w:tabs>
                <w:tab w:val="left" w:pos="326"/>
              </w:tabs>
              <w:spacing w:after="0"/>
              <w:ind w:left="42"/>
              <w:jc w:val="both"/>
              <w:rPr>
                <w:rFonts w:ascii="Times New Roman" w:eastAsia="Times New Roman" w:hAnsi="Times New Roman"/>
                <w:sz w:val="24"/>
                <w:szCs w:val="24"/>
              </w:rPr>
            </w:pPr>
          </w:p>
          <w:p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xml:space="preserve">, що входять до складу тендерної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w:t>
            </w:r>
          </w:p>
          <w:p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B31AD9" w:rsidRPr="00A836C9" w:rsidRDefault="00B31AD9" w:rsidP="00D82D96">
            <w:pPr>
              <w:spacing w:after="0"/>
              <w:jc w:val="both"/>
              <w:rPr>
                <w:rFonts w:ascii="Times New Roman" w:eastAsia="Times New Roman" w:hAnsi="Times New Roman"/>
                <w:color w:val="000000"/>
                <w:sz w:val="24"/>
                <w:szCs w:val="24"/>
              </w:rPr>
            </w:pPr>
          </w:p>
          <w:p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укладення договору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lastRenderedPageBreak/>
              <w:t>дозвіл на участь у закупівлі та/або укладання Договору за результатами закупівлі;</w:t>
            </w:r>
          </w:p>
          <w:p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Pr>
                <w:rFonts w:ascii="Times New Roman" w:eastAsia="Times New Roman" w:hAnsi="Times New Roman"/>
                <w:sz w:val="24"/>
                <w:szCs w:val="24"/>
              </w:rPr>
              <w:t>2021</w:t>
            </w:r>
            <w:bookmarkStart w:id="4" w:name="_GoBack"/>
            <w:bookmarkEnd w:id="4"/>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rsidR="00B31AD9" w:rsidRPr="00827FB7" w:rsidRDefault="00B31AD9" w:rsidP="00D82D96">
            <w:pPr>
              <w:spacing w:after="0"/>
              <w:jc w:val="both"/>
              <w:rPr>
                <w:rFonts w:ascii="Times New Roman" w:eastAsia="Times New Roman" w:hAnsi="Times New Roman"/>
                <w:color w:val="000000"/>
                <w:sz w:val="24"/>
                <w:szCs w:val="24"/>
              </w:rPr>
            </w:pPr>
          </w:p>
          <w:p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00B31AD9" w:rsidRPr="00A836C9">
              <w:rPr>
                <w:rFonts w:ascii="Times New Roman" w:eastAsia="Times New Roman" w:hAnsi="Times New Roman"/>
                <w:sz w:val="24"/>
                <w:szCs w:val="24"/>
              </w:rPr>
              <w:t>-ти</w:t>
            </w:r>
            <w:proofErr w:type="spellEnd"/>
            <w:r w:rsidR="00B31AD9" w:rsidRPr="00A836C9">
              <w:rPr>
                <w:rFonts w:ascii="Times New Roman" w:eastAsia="Times New Roman" w:hAnsi="Times New Roman"/>
                <w:sz w:val="24"/>
                <w:szCs w:val="24"/>
              </w:rPr>
              <w:t xml:space="preserve">) про створення такого об’єднання: </w:t>
            </w:r>
          </w:p>
          <w:p w:rsidR="00B31AD9" w:rsidRPr="00A836C9" w:rsidRDefault="003D3397" w:rsidP="00D82D96">
            <w:pPr>
              <w:shd w:val="clear" w:color="auto" w:fill="FFFFFF"/>
              <w:spacing w:after="0"/>
              <w:ind w:left="720"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31AD9" w:rsidRPr="00A836C9">
              <w:rPr>
                <w:rFonts w:ascii="Times New Roman" w:eastAsia="Times New Roman" w:hAnsi="Times New Roman"/>
                <w:sz w:val="24"/>
                <w:szCs w:val="24"/>
              </w:rPr>
              <w:t xml:space="preserve">рішення про утворення об’єднання, статут </w:t>
            </w:r>
            <w:proofErr w:type="spellStart"/>
            <w:r w:rsidR="00B31AD9" w:rsidRPr="00A836C9">
              <w:rPr>
                <w:rFonts w:ascii="Times New Roman" w:eastAsia="Times New Roman" w:hAnsi="Times New Roman"/>
                <w:sz w:val="24"/>
                <w:szCs w:val="24"/>
              </w:rPr>
              <w:t>та\або</w:t>
            </w:r>
            <w:proofErr w:type="spellEnd"/>
            <w:r w:rsidR="00B31AD9" w:rsidRPr="00A836C9">
              <w:rPr>
                <w:rFonts w:ascii="Times New Roman" w:eastAsia="Times New Roman" w:hAnsi="Times New Roman"/>
                <w:sz w:val="24"/>
                <w:szCs w:val="24"/>
              </w:rPr>
              <w:t xml:space="preserve"> установчий договір та або засновницький договір,</w:t>
            </w:r>
          </w:p>
          <w:p w:rsidR="00B31AD9" w:rsidRPr="00A836C9" w:rsidRDefault="003D3397" w:rsidP="00D82D96">
            <w:pPr>
              <w:shd w:val="clear" w:color="auto" w:fill="FFFFFF"/>
              <w:spacing w:after="0"/>
              <w:ind w:left="720"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31AD9"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w:t>
            </w:r>
            <w:r w:rsidRPr="00A836C9">
              <w:rPr>
                <w:rFonts w:ascii="Times New Roman" w:eastAsia="Times New Roman" w:hAnsi="Times New Roman"/>
                <w:sz w:val="24"/>
                <w:szCs w:val="24"/>
              </w:rPr>
              <w:lastRenderedPageBreak/>
              <w:t>договору</w:t>
            </w:r>
            <w:r>
              <w:rPr>
                <w:rFonts w:ascii="Times New Roman" w:eastAsia="Times New Roman" w:hAnsi="Times New Roman"/>
                <w:sz w:val="24"/>
                <w:szCs w:val="24"/>
              </w:rPr>
              <w:t>.</w:t>
            </w:r>
          </w:p>
        </w:tc>
      </w:tr>
      <w:tr w:rsidR="00B31AD9" w:rsidRPr="00B30B57" w:rsidTr="00E235C9">
        <w:trPr>
          <w:trHeight w:val="285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spellStart"/>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B31AD9"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B31AD9" w:rsidRPr="00A13E9A">
              <w:rPr>
                <w:rFonts w:ascii="Times New Roman" w:eastAsia="Times New Roman" w:hAnsi="Times New Roman"/>
                <w:b/>
                <w:bCs/>
                <w:color w:val="000000"/>
                <w:sz w:val="24"/>
                <w:szCs w:val="24"/>
                <w:lang w:eastAsia="ru-RU"/>
              </w:rPr>
              <w:t>.</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w:t>
            </w:r>
            <w:r w:rsidR="003D3397">
              <w:rPr>
                <w:rFonts w:ascii="Times New Roman" w:eastAsia="Times New Roman" w:hAnsi="Times New Roman"/>
                <w:iCs/>
                <w:sz w:val="24"/>
                <w:szCs w:val="24"/>
                <w:lang w:eastAsia="uk-UA"/>
              </w:rPr>
              <w:t xml:space="preserve">сника та засновника (учасника). </w:t>
            </w:r>
            <w:r w:rsidR="003D3397" w:rsidRPr="008027AF">
              <w:rPr>
                <w:rFonts w:ascii="Times New Roman" w:eastAsia="Times New Roman" w:hAnsi="Times New Roman"/>
                <w:color w:val="000000"/>
                <w:sz w:val="24"/>
                <w:szCs w:val="24"/>
              </w:rPr>
              <w:t xml:space="preserve">Документ повинен бути не більше </w:t>
            </w:r>
            <w:proofErr w:type="spellStart"/>
            <w:r w:rsidR="003D3397" w:rsidRPr="008027AF">
              <w:rPr>
                <w:rFonts w:ascii="Times New Roman" w:eastAsia="Times New Roman" w:hAnsi="Times New Roman"/>
                <w:color w:val="000000"/>
                <w:sz w:val="24"/>
                <w:szCs w:val="24"/>
              </w:rPr>
              <w:t>тридцятиденної</w:t>
            </w:r>
            <w:proofErr w:type="spellEnd"/>
            <w:r w:rsidR="003D3397" w:rsidRPr="008027AF">
              <w:rPr>
                <w:rFonts w:ascii="Times New Roman" w:eastAsia="Times New Roman" w:hAnsi="Times New Roman"/>
                <w:color w:val="000000"/>
                <w:sz w:val="24"/>
                <w:szCs w:val="24"/>
              </w:rPr>
              <w:t xml:space="preserve"> давнини від дати подання документа.</w:t>
            </w:r>
          </w:p>
          <w:p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w:t>
            </w:r>
            <w:r w:rsidRPr="00AC2D0B">
              <w:rPr>
                <w:rFonts w:ascii="Times New Roman" w:eastAsia="Times New Roman" w:hAnsi="Times New Roman"/>
                <w:i/>
                <w:sz w:val="24"/>
                <w:szCs w:val="24"/>
                <w:lang w:eastAsia="uk-UA"/>
              </w:rPr>
              <w:lastRenderedPageBreak/>
              <w:t>громадських формувань».</w:t>
            </w:r>
          </w:p>
          <w:p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proofErr w:type="spellStart"/>
            <w:r w:rsidRPr="00056E9D">
              <w:rPr>
                <w:rFonts w:ascii="Times New Roman" w:eastAsia="Times New Roman" w:hAnsi="Times New Roman"/>
                <w:i/>
                <w:sz w:val="24"/>
                <w:szCs w:val="24"/>
                <w:lang w:eastAsia="uk-UA"/>
              </w:rPr>
              <w:t>Учасники-</w:t>
            </w:r>
            <w:proofErr w:type="spellEnd"/>
            <w:r w:rsidRPr="00056E9D">
              <w:rPr>
                <w:rFonts w:ascii="Times New Roman" w:eastAsia="Times New Roman" w:hAnsi="Times New Roman"/>
                <w:i/>
                <w:sz w:val="24"/>
                <w:szCs w:val="24"/>
                <w:lang w:eastAsia="uk-UA"/>
              </w:rPr>
              <w:t xml:space="preserve">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rsidTr="00E235C9">
        <w:trPr>
          <w:trHeight w:val="11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8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04690" w:rsidRDefault="00604690" w:rsidP="00604690">
            <w:pPr>
              <w:ind w:left="820" w:right="120" w:hanging="360"/>
              <w:jc w:val="both"/>
              <w:rPr>
                <w:rFonts w:ascii="Times New Roman" w:eastAsia="Times New Roman" w:hAnsi="Times New Roman"/>
                <w:sz w:val="24"/>
                <w:szCs w:val="24"/>
                <w:lang w:eastAsia="uk-UA"/>
              </w:rPr>
            </w:pPr>
            <w:proofErr w:type="spellStart"/>
            <w:r w:rsidRPr="00D67785">
              <w:rPr>
                <w:rFonts w:ascii="Times New Roman" w:eastAsia="Times New Roman" w:hAnsi="Times New Roman"/>
                <w:sz w:val="24"/>
                <w:szCs w:val="24"/>
                <w:lang w:eastAsia="uk-UA"/>
              </w:rPr>
              <w:t>-Учасником</w:t>
            </w:r>
            <w:proofErr w:type="spellEnd"/>
            <w:r w:rsidRPr="00D67785">
              <w:rPr>
                <w:rFonts w:ascii="Times New Roman" w:eastAsia="Times New Roman" w:hAnsi="Times New Roman"/>
                <w:sz w:val="24"/>
                <w:szCs w:val="24"/>
                <w:lang w:eastAsia="uk-UA"/>
              </w:rPr>
              <w:t xml:space="preserve"> – фізичною особою, яка є громадянином Російської Федерації;</w:t>
            </w:r>
          </w:p>
          <w:p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 xml:space="preserve">Учасником – юридичною особою,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якої є громадянин Російської Федерації.</w:t>
            </w:r>
          </w:p>
        </w:tc>
      </w:tr>
    </w:tbl>
    <w:p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4FF"/>
    <w:rsid w:val="00021DEC"/>
    <w:rsid w:val="00176AA9"/>
    <w:rsid w:val="001A68A5"/>
    <w:rsid w:val="001B31D9"/>
    <w:rsid w:val="001D766D"/>
    <w:rsid w:val="0020705A"/>
    <w:rsid w:val="00271189"/>
    <w:rsid w:val="00272661"/>
    <w:rsid w:val="002C0873"/>
    <w:rsid w:val="002E4B15"/>
    <w:rsid w:val="00332BB5"/>
    <w:rsid w:val="00337283"/>
    <w:rsid w:val="00352A36"/>
    <w:rsid w:val="003C0C96"/>
    <w:rsid w:val="003D3397"/>
    <w:rsid w:val="004F23A9"/>
    <w:rsid w:val="004F7162"/>
    <w:rsid w:val="00511BD5"/>
    <w:rsid w:val="00552D17"/>
    <w:rsid w:val="005612A3"/>
    <w:rsid w:val="00601122"/>
    <w:rsid w:val="00604690"/>
    <w:rsid w:val="006106B5"/>
    <w:rsid w:val="007A27EF"/>
    <w:rsid w:val="008027AF"/>
    <w:rsid w:val="00827555"/>
    <w:rsid w:val="00827FB7"/>
    <w:rsid w:val="0085795B"/>
    <w:rsid w:val="00863E5E"/>
    <w:rsid w:val="0086747A"/>
    <w:rsid w:val="008804FF"/>
    <w:rsid w:val="008F20DF"/>
    <w:rsid w:val="009345FD"/>
    <w:rsid w:val="009346B7"/>
    <w:rsid w:val="009F396B"/>
    <w:rsid w:val="00A13E9A"/>
    <w:rsid w:val="00A55A32"/>
    <w:rsid w:val="00A562D0"/>
    <w:rsid w:val="00A837A4"/>
    <w:rsid w:val="00AF2281"/>
    <w:rsid w:val="00B14104"/>
    <w:rsid w:val="00B31AD9"/>
    <w:rsid w:val="00B61116"/>
    <w:rsid w:val="00BA1063"/>
    <w:rsid w:val="00C2646D"/>
    <w:rsid w:val="00C42978"/>
    <w:rsid w:val="00C672A6"/>
    <w:rsid w:val="00C906C8"/>
    <w:rsid w:val="00D06B8B"/>
    <w:rsid w:val="00D61BAD"/>
    <w:rsid w:val="00D7027E"/>
    <w:rsid w:val="00DB20B1"/>
    <w:rsid w:val="00DE3DBF"/>
    <w:rsid w:val="00E235C9"/>
    <w:rsid w:val="00EB3EA3"/>
    <w:rsid w:val="00EF13EC"/>
    <w:rsid w:val="00F42232"/>
    <w:rsid w:val="00FA1C33"/>
    <w:rsid w:val="00FE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3862</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2021-10-06T09:38:00Z</cp:lastPrinted>
  <dcterms:created xsi:type="dcterms:W3CDTF">2022-11-01T13:15:00Z</dcterms:created>
  <dcterms:modified xsi:type="dcterms:W3CDTF">2023-03-31T07:51:00Z</dcterms:modified>
</cp:coreProperties>
</file>