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Bdr/>
        <w:spacing w:line="340" w:lineRule="exact"/>
        <w:ind/>
        <w:jc w:val="center"/>
        <w:rPr>
          <w:b/>
          <w:sz w:val="28"/>
          <w:szCs w:val="28"/>
          <w:lang w:val="uk-UA"/>
        </w:rPr>
      </w:pPr>
      <w:r>
        <w:rPr>
          <w:b/>
          <w:sz w:val="28"/>
          <w:szCs w:val="28"/>
          <w:lang w:val="uk-UA"/>
        </w:rPr>
      </w:r>
      <w:r>
        <w:rPr>
          <w:b/>
          <w:sz w:val="28"/>
          <w:szCs w:val="28"/>
          <w:lang w:val="uk-UA"/>
        </w:rPr>
        <w:t xml:space="preserve">ОБ</w:t>
      </w:r>
      <w:r>
        <w:rPr>
          <w:b/>
          <w:sz w:val="28"/>
          <w:szCs w:val="28"/>
          <w:lang w:val="uk-UA"/>
        </w:rPr>
        <w:t xml:space="preserve">Ґ</w:t>
      </w:r>
      <w:r>
        <w:rPr>
          <w:b/>
          <w:sz w:val="28"/>
          <w:szCs w:val="28"/>
          <w:lang w:val="uk-UA"/>
        </w:rPr>
        <w:t xml:space="preserve">РУНТУВАННЯ ЗАКУПІВЛІ</w:t>
      </w:r>
      <w:r>
        <w:rPr>
          <w:b/>
          <w:sz w:val="28"/>
          <w:szCs w:val="28"/>
          <w:lang w:val="uk-UA"/>
        </w:rPr>
      </w:r>
      <w:r>
        <w:rPr>
          <w:b/>
          <w:sz w:val="28"/>
          <w:szCs w:val="28"/>
          <w:lang w:val="uk-UA"/>
        </w:rPr>
      </w:r>
    </w:p>
    <w:p>
      <w:pPr>
        <w:pBdr/>
        <w:spacing/>
        <w:ind w:firstLine="0"/>
        <w:jc w:val="both"/>
        <w:rPr>
          <w:sz w:val="28"/>
          <w:szCs w:val="28"/>
          <w:lang w:val="uk-UA"/>
        </w:rPr>
      </w:pPr>
      <w:r>
        <w:rPr>
          <w:sz w:val="28"/>
          <w:szCs w:val="28"/>
          <w:lang w:val="uk-UA"/>
        </w:rPr>
      </w:r>
      <w:r>
        <w:rPr>
          <w:sz w:val="28"/>
          <w:szCs w:val="28"/>
          <w:lang w:val="uk-UA"/>
        </w:rPr>
      </w:r>
      <w:r>
        <w:rPr>
          <w:sz w:val="28"/>
          <w:szCs w:val="28"/>
          <w:lang w:val="uk-UA"/>
        </w:rPr>
      </w:r>
    </w:p>
    <w:p>
      <w:pPr>
        <w:pBdr/>
        <w:shd w:val="clear" w:color="auto" w:fill="fdfefd"/>
        <w:spacing w:line="360" w:lineRule="atLeast"/>
        <w:ind w:firstLine="567"/>
        <w:jc w:val="both"/>
        <w:outlineLvl w:val="1"/>
        <w:rPr>
          <w:sz w:val="28"/>
          <w:szCs w:val="28"/>
          <w:lang w:val="uk-UA" w:eastAsia="uk-UA"/>
        </w:rPr>
      </w:pPr>
      <w:r>
        <w:rPr>
          <w:sz w:val="28"/>
          <w:szCs w:val="28"/>
          <w:lang w:val="uk-UA" w:eastAsia="uk-UA"/>
        </w:rPr>
        <w:t xml:space="preserve">Постановою НКРЕКП № 429 від 14.06.2018 р. ТОВ «Київська обласна енергопостачальна </w:t>
      </w:r>
      <w:r>
        <w:rPr>
          <w:sz w:val="28"/>
          <w:szCs w:val="28"/>
          <w:lang w:val="uk-UA" w:eastAsia="uk-UA"/>
        </w:rPr>
        <w:t xml:space="preserve">компанія» (код ЄДРПОУ 42094646) надано ліцензію з постачання електричної енергії споживачу та на якого покладається виконання функції постачальника універсальної послуги на території Київської області (відповідно до Постанови НКРЕКП від 26.10.2018 №1268 «П</w:t>
      </w:r>
      <w:r>
        <w:rPr>
          <w:sz w:val="28"/>
          <w:szCs w:val="28"/>
          <w:lang w:val="uk-UA" w:eastAsia="uk-UA"/>
        </w:rPr>
        <w:t xml:space="preserve">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w:t>
      </w:r>
      <w:r>
        <w:rPr>
          <w:sz w:val="28"/>
          <w:szCs w:val="28"/>
          <w:lang w:val="uk-UA" w:eastAsia="uk-UA"/>
        </w:rPr>
        <w:t xml:space="preserve">уги на закріпленій території»).</w:t>
      </w:r>
      <w:r>
        <w:rPr>
          <w:sz w:val="28"/>
          <w:szCs w:val="28"/>
          <w:lang w:val="uk-UA" w:eastAsia="uk-UA"/>
        </w:rPr>
      </w:r>
    </w:p>
    <w:p>
      <w:pPr>
        <w:pBdr/>
        <w:shd w:val="clear" w:color="auto" w:fill="fdfefd"/>
        <w:spacing w:line="360" w:lineRule="atLeast"/>
        <w:ind w:firstLine="567"/>
        <w:jc w:val="both"/>
        <w:outlineLvl w:val="1"/>
        <w:rPr>
          <w:sz w:val="28"/>
          <w:szCs w:val="28"/>
          <w:lang w:val="uk-UA" w:eastAsia="uk-UA"/>
        </w:rPr>
      </w:pPr>
      <w:r>
        <w:rPr>
          <w:sz w:val="28"/>
          <w:szCs w:val="28"/>
          <w:lang w:val="uk-UA" w:eastAsia="uk-UA"/>
        </w:rPr>
        <w:t xml:space="preserve">Територією ліцензованої діяльності ТОВ «Київська обласна енергопостачальна компанія», як постачальника універсальних послуг, </w:t>
      </w:r>
      <w:r>
        <w:rPr>
          <w:sz w:val="28"/>
          <w:szCs w:val="28"/>
          <w:lang w:val="uk-UA" w:eastAsia="uk-UA"/>
        </w:rPr>
        <w:t xml:space="preserve">являється територія Київська області, протягом п'яти років, починаючи з 01.01.2019 р</w:t>
      </w:r>
      <w:r>
        <w:rPr>
          <w:sz w:val="28"/>
          <w:szCs w:val="28"/>
          <w:lang w:val="uk-UA" w:eastAsia="uk-UA"/>
        </w:rPr>
        <w:t xml:space="preserve">оку</w:t>
      </w:r>
      <w:r>
        <w:rPr>
          <w:sz w:val="28"/>
          <w:szCs w:val="28"/>
          <w:lang w:val="uk-UA" w:eastAsia="uk-UA"/>
        </w:rPr>
        <w:t xml:space="preserve">. </w:t>
      </w:r>
      <w:r>
        <w:rPr>
          <w:sz w:val="28"/>
          <w:szCs w:val="28"/>
          <w:lang w:val="uk-UA" w:eastAsia="uk-UA"/>
        </w:rPr>
      </w:r>
    </w:p>
    <w:p>
      <w:pPr>
        <w:pBdr/>
        <w:shd w:val="clear" w:color="auto" w:fill="fdfefd"/>
        <w:spacing w:line="360" w:lineRule="atLeast"/>
        <w:ind w:firstLine="567"/>
        <w:jc w:val="both"/>
        <w:outlineLvl w:val="1"/>
        <w:rPr>
          <w:sz w:val="28"/>
          <w:szCs w:val="28"/>
          <w:lang w:val="uk-UA" w:eastAsia="uk-UA"/>
        </w:rPr>
      </w:pPr>
      <w:r>
        <w:rPr>
          <w:sz w:val="28"/>
          <w:szCs w:val="28"/>
          <w:lang w:val="uk-UA" w:eastAsia="uk-UA"/>
        </w:rPr>
        <w:t xml:space="preserve">Частиною 1 статті 63 Закону України «Про ринок електричної енергії» передбачено, що уні</w:t>
      </w:r>
      <w:r>
        <w:rPr>
          <w:sz w:val="28"/>
          <w:szCs w:val="28"/>
          <w:lang w:val="uk-UA" w:eastAsia="uk-UA"/>
        </w:rPr>
        <w:t xml:space="preserve">версальні послуги надаються постачальником таких послуг виключно побутовим та малим непобутовим споживачам. Відповідно до частини 1 статті 1 Закону України «Про ринок електричної енергії» малий непобутовий споживач - споживач, який не є побутовим споживаче</w:t>
      </w:r>
      <w:r>
        <w:rPr>
          <w:sz w:val="28"/>
          <w:szCs w:val="28"/>
          <w:lang w:val="uk-UA" w:eastAsia="uk-UA"/>
        </w:rPr>
        <w:t xml:space="preserve">м і купує електричну енергію для власного споживання, електроустановки якого приєднані до електричних мереж з договірною потужністю до 50 кВт. А в абз. 4 ч. 2 ст. 63 Законом України «Про ринок електричної енергії» зазначено, що: «…У межах території здійсне</w:t>
      </w:r>
      <w:r>
        <w:rPr>
          <w:sz w:val="28"/>
          <w:szCs w:val="28"/>
          <w:lang w:val="uk-UA" w:eastAsia="uk-UA"/>
        </w:rPr>
        <w:t xml:space="preserve">ння діяльності одного постачальника універсальних послуг не допускається здійснення діяльності іншими постачальниками універсальних послуг. Побутові та малі непобутові споживачі мають право на отримання універсальних послуг на недискримінаційних засадах». </w:t>
      </w:r>
      <w:r>
        <w:rPr>
          <w:sz w:val="28"/>
          <w:szCs w:val="28"/>
          <w:lang w:val="uk-UA" w:eastAsia="uk-UA"/>
        </w:rPr>
      </w:r>
    </w:p>
    <w:p>
      <w:pPr>
        <w:pBdr/>
        <w:shd w:val="clear" w:color="auto" w:fill="fdfefd"/>
        <w:spacing w:line="360" w:lineRule="atLeast"/>
        <w:ind w:firstLine="567"/>
        <w:jc w:val="both"/>
        <w:outlineLvl w:val="1"/>
        <w:rPr>
          <w:sz w:val="28"/>
          <w:szCs w:val="28"/>
          <w:lang w:val="uk-UA" w:eastAsia="uk-UA"/>
        </w:rPr>
      </w:pPr>
      <w:r>
        <w:rPr>
          <w:sz w:val="28"/>
          <w:szCs w:val="28"/>
          <w:lang w:val="uk-UA" w:eastAsia="uk-UA"/>
        </w:rPr>
        <w:t xml:space="preserve">Правові, </w:t>
      </w:r>
      <w:r>
        <w:rPr>
          <w:sz w:val="28"/>
          <w:szCs w:val="28"/>
          <w:lang w:val="uk-UA" w:eastAsia="uk-UA"/>
        </w:rPr>
        <w:t xml:space="preserve">економічні та організаційні засади функціонування ринку електричної енергії,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w:t>
      </w:r>
      <w:r>
        <w:rPr>
          <w:sz w:val="28"/>
          <w:szCs w:val="28"/>
          <w:lang w:val="uk-UA" w:eastAsia="uk-UA"/>
        </w:rPr>
        <w:t xml:space="preserve">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 визначає Закон України «Про ринок електричної енергії» (</w:t>
      </w:r>
      <w:r>
        <w:rPr>
          <w:sz w:val="28"/>
          <w:szCs w:val="28"/>
          <w:lang w:val="uk-UA" w:eastAsia="uk-UA"/>
        </w:rPr>
        <w:t xml:space="preserve">далі – Закон).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 </w:t>
      </w:r>
      <w:r>
        <w:rPr>
          <w:sz w:val="28"/>
          <w:szCs w:val="28"/>
          <w:lang w:val="uk-UA" w:eastAsia="uk-UA"/>
        </w:rPr>
      </w:r>
    </w:p>
    <w:p>
      <w:pPr>
        <w:pBdr/>
        <w:shd w:val="clear" w:color="auto" w:fill="fdfefd"/>
        <w:spacing w:line="360" w:lineRule="atLeast"/>
        <w:ind w:firstLine="567"/>
        <w:jc w:val="both"/>
        <w:outlineLvl w:val="1"/>
        <w:rPr>
          <w:sz w:val="28"/>
          <w:szCs w:val="28"/>
          <w:lang w:val="uk-UA" w:eastAsia="uk-UA"/>
        </w:rPr>
      </w:pPr>
      <w:r>
        <w:rPr>
          <w:sz w:val="28"/>
          <w:szCs w:val="28"/>
          <w:lang w:val="uk-UA" w:eastAsia="uk-UA"/>
        </w:rPr>
        <w:t xml:space="preserve">Стаття 63 Закону визначає засади діяльності постачальника універсальних послуг. Відповідно до частини 2 статті 63 Закону у межах території здійснення діяльності одного постачальника універсальних послуг не доп</w:t>
      </w:r>
      <w:r>
        <w:rPr>
          <w:sz w:val="28"/>
          <w:szCs w:val="28"/>
          <w:lang w:val="uk-UA" w:eastAsia="uk-UA"/>
        </w:rPr>
        <w:t xml:space="preserve">ускається здійснення діяльності іншими постачальниками універсальних послуг. Відповідно до частини 3 статті 63 Закону постачальник надає універсальні послуги за економічно обґрунтованими, прозорими та недискримінаційними цінами, що формуються відповідно до</w:t>
      </w:r>
      <w:r>
        <w:rPr>
          <w:sz w:val="28"/>
          <w:szCs w:val="28"/>
          <w:lang w:val="uk-UA" w:eastAsia="uk-UA"/>
        </w:rPr>
        <w:t xml:space="preserve">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 на послуги оператора системи передачі та оператора</w:t>
      </w:r>
      <w:r>
        <w:rPr>
          <w:sz w:val="28"/>
          <w:szCs w:val="28"/>
          <w:lang w:val="uk-UA" w:eastAsia="uk-UA"/>
        </w:rPr>
        <w:t xml:space="preserve"> системи розподілу відповідно до укладених договорів про надання відповідних послуг. Частиною 4 статті 63 Закону визначено, що постачальник універсальних послуг здійснює постачання електричної енергії у порядку, визначеному правилами роздрібного ринку, та </w:t>
      </w:r>
      <w:r>
        <w:rPr>
          <w:sz w:val="28"/>
          <w:szCs w:val="28"/>
          <w:lang w:val="uk-UA" w:eastAsia="uk-UA"/>
        </w:rPr>
        <w:t xml:space="preserve">на умовах договору постачання універсальних послуг. </w:t>
      </w:r>
      <w:r>
        <w:rPr>
          <w:sz w:val="28"/>
          <w:szCs w:val="28"/>
          <w:lang w:val="uk-UA" w:eastAsia="uk-UA"/>
        </w:rPr>
      </w:r>
    </w:p>
    <w:p>
      <w:pPr>
        <w:pBdr/>
        <w:shd w:val="clear" w:color="auto" w:fill="fdfefd"/>
        <w:spacing w:line="360" w:lineRule="atLeast"/>
        <w:ind w:firstLine="567"/>
        <w:jc w:val="both"/>
        <w:outlineLvl w:val="1"/>
        <w:rPr>
          <w:sz w:val="28"/>
          <w:szCs w:val="28"/>
          <w:lang w:val="uk-UA" w:eastAsia="uk-UA"/>
        </w:rPr>
      </w:pPr>
      <w:r>
        <w:rPr>
          <w:sz w:val="28"/>
          <w:szCs w:val="28"/>
          <w:lang w:val="uk-UA" w:eastAsia="uk-UA"/>
        </w:rPr>
        <w:t xml:space="preserve">Відповідно до абзацу 2 пункту 3.1.1 Правил роздрібного ринку електричної енергії, затверджених Постановою НКРЕКП 14.03.2018 № 312, місцем провадження го</w:t>
      </w:r>
      <w:r>
        <w:rPr>
          <w:sz w:val="28"/>
          <w:szCs w:val="28"/>
          <w:lang w:val="uk-UA" w:eastAsia="uk-UA"/>
        </w:rPr>
        <w:t xml:space="preserve">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w:t>
      </w:r>
      <w:r>
        <w:rPr>
          <w:sz w:val="28"/>
          <w:szCs w:val="28"/>
          <w:lang w:val="uk-UA" w:eastAsia="uk-UA"/>
        </w:rPr>
        <w:t xml:space="preserve">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w:t>
      </w:r>
      <w:r>
        <w:rPr>
          <w:sz w:val="28"/>
          <w:szCs w:val="28"/>
          <w:lang w:val="uk-UA" w:eastAsia="uk-UA"/>
        </w:rPr>
        <w:t xml:space="preserve">и «останньої надії» відповідно.</w:t>
      </w:r>
      <w:r>
        <w:rPr>
          <w:sz w:val="28"/>
          <w:szCs w:val="28"/>
          <w:lang w:val="uk-UA" w:eastAsia="uk-UA"/>
        </w:rPr>
      </w:r>
    </w:p>
    <w:p>
      <w:pPr>
        <w:pBdr/>
        <w:shd w:val="clear" w:color="auto" w:fill="fdfefd"/>
        <w:spacing w:line="360" w:lineRule="atLeast"/>
        <w:ind w:firstLine="567"/>
        <w:jc w:val="both"/>
        <w:outlineLvl w:val="1"/>
        <w:rPr>
          <w:sz w:val="28"/>
          <w:szCs w:val="28"/>
          <w:lang w:val="uk-UA" w:eastAsia="uk-UA"/>
        </w:rPr>
      </w:pPr>
      <w:r>
        <w:rPr>
          <w:sz w:val="28"/>
          <w:szCs w:val="28"/>
          <w:lang w:val="uk-UA" w:eastAsia="uk-UA"/>
        </w:rPr>
        <w:t xml:space="preserve">Абзацами 2, 4 пункту 13 Прикінцевих та перехідних положень Закону передбачено, що з метою забезпечення надійного та безперервного постачання електричної енергії побутови</w:t>
      </w:r>
      <w:r>
        <w:rPr>
          <w:sz w:val="28"/>
          <w:szCs w:val="28"/>
          <w:lang w:val="uk-UA" w:eastAsia="uk-UA"/>
        </w:rPr>
        <w:t xml:space="preserve">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 упродовж трьох років з 1 січня 2019 року так</w:t>
      </w:r>
      <w:r>
        <w:rPr>
          <w:sz w:val="28"/>
          <w:szCs w:val="28"/>
          <w:lang w:val="uk-UA" w:eastAsia="uk-UA"/>
        </w:rPr>
        <w:t xml:space="preserve">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w:t>
      </w:r>
      <w:r>
        <w:rPr>
          <w:sz w:val="28"/>
          <w:szCs w:val="28"/>
          <w:lang w:val="uk-UA" w:eastAsia="uk-UA"/>
        </w:rPr>
        <w:t xml:space="preserve">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 </w:t>
      </w:r>
      <w:r>
        <w:rPr>
          <w:sz w:val="28"/>
          <w:szCs w:val="28"/>
          <w:lang w:val="uk-UA" w:eastAsia="uk-UA"/>
        </w:rPr>
      </w:r>
    </w:p>
    <w:p>
      <w:pPr>
        <w:pBdr/>
        <w:shd w:val="clear" w:color="auto" w:fill="fdfefd"/>
        <w:spacing w:line="360" w:lineRule="atLeast"/>
        <w:ind w:firstLine="567"/>
        <w:jc w:val="both"/>
        <w:outlineLvl w:val="1"/>
        <w:rPr>
          <w:sz w:val="28"/>
          <w:szCs w:val="28"/>
          <w:lang w:val="uk-UA" w:eastAsia="uk-UA"/>
        </w:rPr>
      </w:pPr>
      <w:r>
        <w:rPr>
          <w:sz w:val="28"/>
          <w:szCs w:val="28"/>
          <w:lang w:val="uk-UA" w:eastAsia="uk-UA"/>
        </w:rPr>
        <w:t xml:space="preserve">Відповідно до інформації Національної комісії, що здійснює державне регул</w:t>
      </w:r>
      <w:r>
        <w:rPr>
          <w:sz w:val="28"/>
          <w:szCs w:val="28"/>
          <w:lang w:val="uk-UA" w:eastAsia="uk-UA"/>
        </w:rPr>
        <w:t xml:space="preserve">ювання у сферах енергетики та комунальних послуг, оприлюдненої на офіційному веб-сайті НКРЕКП за посиланням http://www.nerc.gov.ua/?news=7842, станом на 1 серпня 2018 року на виконання Закону вертикально інтегрованими суб’єктами господарювання було створен</w:t>
      </w:r>
      <w:r>
        <w:rPr>
          <w:sz w:val="28"/>
          <w:szCs w:val="28"/>
          <w:lang w:val="uk-UA" w:eastAsia="uk-UA"/>
        </w:rPr>
        <w:t xml:space="preserve">о відповідні суб’єкти господарювання, які отримали ліцензії з постачання електричної енергії споживачу, відповідно до вимог постанови НКРЕКП від 27.12.2017 № 1469, та які упродовж двох років виконують функції постачальника універсальних послуг на закріплен</w:t>
      </w:r>
      <w:r>
        <w:rPr>
          <w:sz w:val="28"/>
          <w:szCs w:val="28"/>
          <w:lang w:val="uk-UA" w:eastAsia="uk-UA"/>
        </w:rPr>
        <w:t xml:space="preserve">ій території. Згідно з переліком суб’єктів господарювання, створених у результаті здійснення заходів з відокремлення, функцію постачальника універсальних послуг на території Київської області покладено на ТОВ «Київська обласна енергопостачальна компанія». </w:t>
      </w:r>
      <w:r>
        <w:rPr>
          <w:sz w:val="28"/>
          <w:szCs w:val="28"/>
          <w:lang w:val="uk-UA" w:eastAsia="uk-UA"/>
        </w:rPr>
      </w:r>
    </w:p>
    <w:p>
      <w:pPr>
        <w:pBdr/>
        <w:shd w:val="clear" w:color="auto" w:fill="fdfefd"/>
        <w:spacing w:line="360" w:lineRule="atLeast"/>
        <w:ind w:firstLine="567"/>
        <w:jc w:val="both"/>
        <w:outlineLvl w:val="1"/>
        <w:rPr>
          <w:sz w:val="28"/>
          <w:szCs w:val="28"/>
          <w:lang w:val="uk-UA" w:eastAsia="uk-UA"/>
        </w:rPr>
      </w:pPr>
      <w:r>
        <w:rPr>
          <w:sz w:val="28"/>
          <w:szCs w:val="28"/>
          <w:lang w:val="uk-UA" w:eastAsia="uk-UA"/>
        </w:rPr>
        <w:t xml:space="preserve">Враховуючи вищевикладене, постачання електричної енергії на 2022 рік до складських приміщень, які знаходяться за адресою: 08703, м. Обухів, вул. Київська, 144 та перебувають на балансі Департаменту, може забезпечити </w:t>
      </w:r>
      <w:r>
        <w:rPr>
          <w:sz w:val="28"/>
          <w:szCs w:val="28"/>
          <w:lang w:val="uk-UA" w:eastAsia="uk-UA"/>
        </w:rPr>
        <w:t xml:space="preserve">виключно постачальник універсальних послуг, який здійснює свою діяльність на т</w:t>
      </w:r>
      <w:r>
        <w:rPr>
          <w:sz w:val="28"/>
          <w:szCs w:val="28"/>
          <w:lang w:val="uk-UA" w:eastAsia="uk-UA"/>
        </w:rPr>
        <w:t xml:space="preserve">ериторії Київської області, а саме: ТОВ «Київська обласна енергопостачальна компанія». На підставі цього Замовником прийняте рішення здійснити закупівлю без застосування порядку проведення спрощених закупівель, встановленого Законом, у зв’язку з тим, що ро</w:t>
      </w:r>
      <w:r>
        <w:rPr>
          <w:sz w:val="28"/>
          <w:szCs w:val="28"/>
          <w:lang w:val="uk-UA" w:eastAsia="uk-UA"/>
        </w:rPr>
        <w:t xml:space="preserve">боти, товари чи послуги можуть бути виконані, поставлені чи надані виключно певним суб’єктом господарювання відповідно до абзацу 4 пункту 2 частини сьомої статті 3 Закону України «Про публічні закупівлі», а саме: відсутність конкуренції з технічних причин.</w:t>
      </w:r>
      <w:r>
        <w:rPr>
          <w:sz w:val="28"/>
          <w:szCs w:val="28"/>
          <w:lang w:val="uk-UA" w:eastAsia="uk-UA"/>
        </w:rPr>
      </w:r>
    </w:p>
    <w:sectPr>
      <w:footnotePr/>
      <w:endnotePr/>
      <w:type w:val="nextPage"/>
      <w:pgSz w:h="16838" w:orient="landscape" w:w="11906"/>
      <w:pgMar w:top="851" w:right="850" w:bottom="1134" w:left="1701" w:header="709" w:footer="709"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Times New Roman">
    <w:panose1 w:val="02020603050405020304"/>
  </w:font>
  <w:font w:name="Courier New">
    <w:panose1 w:val="02070309020205020404"/>
  </w:font>
  <w:font w:name="Segoe UI">
    <w:panose1 w:val="020B0502040204020203"/>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20"/>
      </w:pPr>
      <w:rPr>
        <w:rFonts w:hint="default" w:ascii="Times New Roman" w:hAnsi="Times New Roman" w:eastAsia="Times New Roman" w:cs="Times New Roman"/>
      </w:rPr>
      <w:start w:val="0"/>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
    <w:lvl w:ilvl="0">
      <w:isLgl w:val="false"/>
      <w:lvlJc w:val="left"/>
      <w:lvlText w:val="%1)"/>
      <w:numFmt w:val="decimal"/>
      <w:pPr>
        <w:pBdr/>
        <w:spacing/>
        <w:ind w:hanging="360" w:left="1080"/>
      </w:pPr>
      <w:rPr/>
      <w:start w:val="1"/>
      <w:suff w:val="tab"/>
    </w:lvl>
    <w:lvl w:ilvl="1">
      <w:isLgl w:val="false"/>
      <w:lvlJc w:val="left"/>
      <w:lvlText w:val="%2."/>
      <w:numFmt w:val="lowerLetter"/>
      <w:pPr>
        <w:pBdr/>
        <w:spacing/>
        <w:ind w:hanging="360" w:left="1800"/>
      </w:pPr>
      <w:rPr/>
      <w:start w:val="1"/>
      <w:suff w:val="tab"/>
    </w:lvl>
    <w:lvl w:ilvl="2">
      <w:isLgl w:val="false"/>
      <w:lvlJc w:val="right"/>
      <w:lvlText w:val="%3."/>
      <w:numFmt w:val="lowerRoman"/>
      <w:pPr>
        <w:pBdr/>
        <w:spacing/>
        <w:ind w:hanging="180" w:left="2520"/>
      </w:pPr>
      <w:rPr/>
      <w:start w:val="1"/>
      <w:suff w:val="tab"/>
    </w:lvl>
    <w:lvl w:ilvl="3">
      <w:isLgl w:val="false"/>
      <w:lvlJc w:val="left"/>
      <w:lvlText w:val="%4."/>
      <w:numFmt w:val="decimal"/>
      <w:pPr>
        <w:pBdr/>
        <w:spacing/>
        <w:ind w:hanging="360" w:left="3240"/>
      </w:pPr>
      <w:rPr/>
      <w:start w:val="1"/>
      <w:suff w:val="tab"/>
    </w:lvl>
    <w:lvl w:ilvl="4">
      <w:isLgl w:val="false"/>
      <w:lvlJc w:val="left"/>
      <w:lvlText w:val="%5."/>
      <w:numFmt w:val="lowerLetter"/>
      <w:pPr>
        <w:pBdr/>
        <w:spacing/>
        <w:ind w:hanging="360" w:left="3960"/>
      </w:pPr>
      <w:rPr/>
      <w:start w:val="1"/>
      <w:suff w:val="tab"/>
    </w:lvl>
    <w:lvl w:ilvl="5">
      <w:isLgl w:val="false"/>
      <w:lvlJc w:val="right"/>
      <w:lvlText w:val="%6."/>
      <w:numFmt w:val="lowerRoman"/>
      <w:pPr>
        <w:pBdr/>
        <w:spacing/>
        <w:ind w:hanging="180" w:left="4680"/>
      </w:pPr>
      <w:rPr/>
      <w:start w:val="1"/>
      <w:suff w:val="tab"/>
    </w:lvl>
    <w:lvl w:ilvl="6">
      <w:isLgl w:val="false"/>
      <w:lvlJc w:val="left"/>
      <w:lvlText w:val="%7."/>
      <w:numFmt w:val="decimal"/>
      <w:pPr>
        <w:pBdr/>
        <w:spacing/>
        <w:ind w:hanging="360" w:left="5400"/>
      </w:pPr>
      <w:rPr/>
      <w:start w:val="1"/>
      <w:suff w:val="tab"/>
    </w:lvl>
    <w:lvl w:ilvl="7">
      <w:isLgl w:val="false"/>
      <w:lvlJc w:val="left"/>
      <w:lvlText w:val="%8."/>
      <w:numFmt w:val="lowerLetter"/>
      <w:pPr>
        <w:pBdr/>
        <w:spacing/>
        <w:ind w:hanging="360" w:left="6120"/>
      </w:pPr>
      <w:rPr/>
      <w:start w:val="1"/>
      <w:suff w:val="tab"/>
    </w:lvl>
    <w:lvl w:ilvl="8">
      <w:isLgl w:val="false"/>
      <w:lvlJc w:val="right"/>
      <w:lvlText w:val="%9."/>
      <w:numFmt w:val="lowerRoman"/>
      <w:pPr>
        <w:pBdr/>
        <w:spacing/>
        <w:ind w:hanging="180" w:left="6840"/>
      </w:pPr>
      <w:rPr/>
      <w:start w:val="1"/>
      <w:suff w:val="tab"/>
    </w:lvl>
  </w:abstractNum>
  <w:abstractNum w:abstractNumId="2">
    <w:lvl w:ilvl="0">
      <w:isLgl w:val="false"/>
      <w:lvlJc w:val="left"/>
      <w:lvlText w:val="-"/>
      <w:numFmt w:val="bullet"/>
      <w:pPr>
        <w:pBdr/>
        <w:spacing/>
        <w:ind w:hanging="360" w:left="720"/>
      </w:pPr>
      <w:rPr>
        <w:rFonts w:hint="default" w:ascii="Times New Roman" w:hAnsi="Times New Roman" w:eastAsia="Times New Roman" w:cs="Times New Roman"/>
      </w:rPr>
      <w:start w:val="30"/>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3">
    <w:lvl w:ilvl="0">
      <w:isLgl w:val="false"/>
      <w:lvlJc w:val="left"/>
      <w:lvlText w:val="-"/>
      <w:numFmt w:val="bullet"/>
      <w:pPr>
        <w:pBdr/>
        <w:spacing/>
        <w:ind w:hanging="360" w:left="786"/>
      </w:pPr>
      <w:rPr>
        <w:rFonts w:hint="default" w:ascii="Times New Roman" w:hAnsi="Times New Roman" w:eastAsia="Times New Roman" w:cs="Times New Roman"/>
      </w:rPr>
      <w:start w:val="15"/>
      <w:suff w:val="tab"/>
    </w:lvl>
    <w:lvl w:ilvl="1">
      <w:isLgl w:val="false"/>
      <w:lvlJc w:val="left"/>
      <w:lvlText w:val="o"/>
      <w:numFmt w:val="bullet"/>
      <w:pPr>
        <w:pBdr/>
        <w:spacing/>
        <w:ind w:hanging="360" w:left="1506"/>
      </w:pPr>
      <w:rPr>
        <w:rFonts w:hint="default" w:ascii="Courier New" w:hAnsi="Courier New" w:cs="Courier New"/>
      </w:rPr>
      <w:start w:val="1"/>
      <w:suff w:val="tab"/>
    </w:lvl>
    <w:lvl w:ilvl="2">
      <w:isLgl w:val="false"/>
      <w:lvlJc w:val="left"/>
      <w:lvlText w:val=""/>
      <w:numFmt w:val="bullet"/>
      <w:pPr>
        <w:pBdr/>
        <w:spacing/>
        <w:ind w:hanging="360" w:left="2226"/>
      </w:pPr>
      <w:rPr>
        <w:rFonts w:hint="default" w:ascii="Wingdings" w:hAnsi="Wingdings"/>
      </w:rPr>
      <w:start w:val="1"/>
      <w:suff w:val="tab"/>
    </w:lvl>
    <w:lvl w:ilvl="3">
      <w:isLgl w:val="false"/>
      <w:lvlJc w:val="left"/>
      <w:lvlText w:val=""/>
      <w:numFmt w:val="bullet"/>
      <w:pPr>
        <w:pBdr/>
        <w:spacing/>
        <w:ind w:hanging="360" w:left="2946"/>
      </w:pPr>
      <w:rPr>
        <w:rFonts w:hint="default" w:ascii="Symbol" w:hAnsi="Symbol"/>
      </w:rPr>
      <w:start w:val="1"/>
      <w:suff w:val="tab"/>
    </w:lvl>
    <w:lvl w:ilvl="4">
      <w:isLgl w:val="false"/>
      <w:lvlJc w:val="left"/>
      <w:lvlText w:val="o"/>
      <w:numFmt w:val="bullet"/>
      <w:pPr>
        <w:pBdr/>
        <w:spacing/>
        <w:ind w:hanging="360" w:left="3666"/>
      </w:pPr>
      <w:rPr>
        <w:rFonts w:hint="default" w:ascii="Courier New" w:hAnsi="Courier New" w:cs="Courier New"/>
      </w:rPr>
      <w:start w:val="1"/>
      <w:suff w:val="tab"/>
    </w:lvl>
    <w:lvl w:ilvl="5">
      <w:isLgl w:val="false"/>
      <w:lvlJc w:val="left"/>
      <w:lvlText w:val=""/>
      <w:numFmt w:val="bullet"/>
      <w:pPr>
        <w:pBdr/>
        <w:spacing/>
        <w:ind w:hanging="360" w:left="4386"/>
      </w:pPr>
      <w:rPr>
        <w:rFonts w:hint="default" w:ascii="Wingdings" w:hAnsi="Wingdings"/>
      </w:rPr>
      <w:start w:val="1"/>
      <w:suff w:val="tab"/>
    </w:lvl>
    <w:lvl w:ilvl="6">
      <w:isLgl w:val="false"/>
      <w:lvlJc w:val="left"/>
      <w:lvlText w:val=""/>
      <w:numFmt w:val="bullet"/>
      <w:pPr>
        <w:pBdr/>
        <w:spacing/>
        <w:ind w:hanging="360" w:left="5106"/>
      </w:pPr>
      <w:rPr>
        <w:rFonts w:hint="default" w:ascii="Symbol" w:hAnsi="Symbol"/>
      </w:rPr>
      <w:start w:val="1"/>
      <w:suff w:val="tab"/>
    </w:lvl>
    <w:lvl w:ilvl="7">
      <w:isLgl w:val="false"/>
      <w:lvlJc w:val="left"/>
      <w:lvlText w:val="o"/>
      <w:numFmt w:val="bullet"/>
      <w:pPr>
        <w:pBdr/>
        <w:spacing/>
        <w:ind w:hanging="360" w:left="5826"/>
      </w:pPr>
      <w:rPr>
        <w:rFonts w:hint="default" w:ascii="Courier New" w:hAnsi="Courier New" w:cs="Courier New"/>
      </w:rPr>
      <w:start w:val="1"/>
      <w:suff w:val="tab"/>
    </w:lvl>
    <w:lvl w:ilvl="8">
      <w:isLgl w:val="false"/>
      <w:lvlJc w:val="left"/>
      <w:lvlText w:val=""/>
      <w:numFmt w:val="bullet"/>
      <w:pPr>
        <w:pBdr/>
        <w:spacing/>
        <w:ind w:hanging="360" w:left="6546"/>
      </w:pPr>
      <w:rPr>
        <w:rFonts w:hint="default" w:ascii="Wingdings" w:hAnsi="Wingdings"/>
      </w:rPr>
      <w:start w:val="1"/>
      <w:suff w:val="tab"/>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uk-UA" w:eastAsia="uk-UA"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61"/>
    <w:next w:val="661"/>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663"/>
    <w:link w:val="13"/>
    <w:uiPriority w:val="9"/>
    <w:pPr>
      <w:pBdr/>
      <w:spacing/>
      <w:ind/>
    </w:pPr>
    <w:rPr>
      <w:rFonts w:ascii="Arial" w:hAnsi="Arial" w:eastAsia="Arial" w:cs="Arial"/>
      <w:sz w:val="40"/>
      <w:szCs w:val="40"/>
    </w:rPr>
  </w:style>
  <w:style w:type="character" w:styleId="16">
    <w:name w:val="Heading 2 Char"/>
    <w:basedOn w:val="663"/>
    <w:link w:val="662"/>
    <w:uiPriority w:val="9"/>
    <w:pPr>
      <w:pBdr/>
      <w:spacing/>
      <w:ind/>
    </w:pPr>
    <w:rPr>
      <w:rFonts w:ascii="Arial" w:hAnsi="Arial" w:eastAsia="Arial" w:cs="Arial"/>
      <w:sz w:val="34"/>
    </w:rPr>
  </w:style>
  <w:style w:type="paragraph" w:styleId="17">
    <w:name w:val="Heading 3"/>
    <w:basedOn w:val="661"/>
    <w:next w:val="661"/>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663"/>
    <w:link w:val="17"/>
    <w:uiPriority w:val="9"/>
    <w:pPr>
      <w:pBdr/>
      <w:spacing/>
      <w:ind/>
    </w:pPr>
    <w:rPr>
      <w:rFonts w:ascii="Arial" w:hAnsi="Arial" w:eastAsia="Arial" w:cs="Arial"/>
      <w:sz w:val="30"/>
      <w:szCs w:val="30"/>
    </w:rPr>
  </w:style>
  <w:style w:type="paragraph" w:styleId="19">
    <w:name w:val="Heading 4"/>
    <w:basedOn w:val="661"/>
    <w:next w:val="661"/>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663"/>
    <w:link w:val="19"/>
    <w:uiPriority w:val="9"/>
    <w:pPr>
      <w:pBdr/>
      <w:spacing/>
      <w:ind/>
    </w:pPr>
    <w:rPr>
      <w:rFonts w:ascii="Arial" w:hAnsi="Arial" w:eastAsia="Arial" w:cs="Arial"/>
      <w:b/>
      <w:bCs/>
      <w:sz w:val="26"/>
      <w:szCs w:val="26"/>
    </w:rPr>
  </w:style>
  <w:style w:type="paragraph" w:styleId="21">
    <w:name w:val="Heading 5"/>
    <w:basedOn w:val="661"/>
    <w:next w:val="661"/>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663"/>
    <w:link w:val="21"/>
    <w:uiPriority w:val="9"/>
    <w:pPr>
      <w:pBdr/>
      <w:spacing/>
      <w:ind/>
    </w:pPr>
    <w:rPr>
      <w:rFonts w:ascii="Arial" w:hAnsi="Arial" w:eastAsia="Arial" w:cs="Arial"/>
      <w:b/>
      <w:bCs/>
      <w:sz w:val="24"/>
      <w:szCs w:val="24"/>
    </w:rPr>
  </w:style>
  <w:style w:type="paragraph" w:styleId="23">
    <w:name w:val="Heading 6"/>
    <w:basedOn w:val="661"/>
    <w:next w:val="661"/>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663"/>
    <w:link w:val="23"/>
    <w:uiPriority w:val="9"/>
    <w:pPr>
      <w:pBdr/>
      <w:spacing/>
      <w:ind/>
    </w:pPr>
    <w:rPr>
      <w:rFonts w:ascii="Arial" w:hAnsi="Arial" w:eastAsia="Arial" w:cs="Arial"/>
      <w:b/>
      <w:bCs/>
      <w:sz w:val="22"/>
      <w:szCs w:val="22"/>
    </w:rPr>
  </w:style>
  <w:style w:type="paragraph" w:styleId="25">
    <w:name w:val="Heading 7"/>
    <w:basedOn w:val="661"/>
    <w:next w:val="661"/>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663"/>
    <w:link w:val="25"/>
    <w:uiPriority w:val="9"/>
    <w:pPr>
      <w:pBdr/>
      <w:spacing/>
      <w:ind/>
    </w:pPr>
    <w:rPr>
      <w:rFonts w:ascii="Arial" w:hAnsi="Arial" w:eastAsia="Arial" w:cs="Arial"/>
      <w:b/>
      <w:bCs/>
      <w:i/>
      <w:iCs/>
      <w:sz w:val="22"/>
      <w:szCs w:val="22"/>
    </w:rPr>
  </w:style>
  <w:style w:type="paragraph" w:styleId="27">
    <w:name w:val="Heading 8"/>
    <w:basedOn w:val="661"/>
    <w:next w:val="661"/>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663"/>
    <w:link w:val="27"/>
    <w:uiPriority w:val="9"/>
    <w:pPr>
      <w:pBdr/>
      <w:spacing/>
      <w:ind/>
    </w:pPr>
    <w:rPr>
      <w:rFonts w:ascii="Arial" w:hAnsi="Arial" w:eastAsia="Arial" w:cs="Arial"/>
      <w:i/>
      <w:iCs/>
      <w:sz w:val="22"/>
      <w:szCs w:val="22"/>
    </w:rPr>
  </w:style>
  <w:style w:type="paragraph" w:styleId="29">
    <w:name w:val="Heading 9"/>
    <w:basedOn w:val="661"/>
    <w:next w:val="661"/>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663"/>
    <w:link w:val="29"/>
    <w:uiPriority w:val="9"/>
    <w:pPr>
      <w:pBdr/>
      <w:spacing/>
      <w:ind/>
    </w:pPr>
    <w:rPr>
      <w:rFonts w:ascii="Arial" w:hAnsi="Arial" w:eastAsia="Arial" w:cs="Arial"/>
      <w:i/>
      <w:iCs/>
      <w:sz w:val="21"/>
      <w:szCs w:val="21"/>
    </w:rPr>
  </w:style>
  <w:style w:type="paragraph" w:styleId="33">
    <w:name w:val="No Spacing"/>
    <w:uiPriority w:val="1"/>
    <w:qFormat/>
    <w:pPr>
      <w:pBdr/>
      <w:spacing w:after="0" w:before="0" w:line="240" w:lineRule="auto"/>
      <w:ind/>
    </w:pPr>
  </w:style>
  <w:style w:type="paragraph" w:styleId="34">
    <w:name w:val="Title"/>
    <w:basedOn w:val="661"/>
    <w:next w:val="661"/>
    <w:link w:val="35"/>
    <w:uiPriority w:val="10"/>
    <w:qFormat/>
    <w:pPr>
      <w:pBdr/>
      <w:spacing w:after="200" w:before="300"/>
      <w:ind/>
      <w:contextualSpacing w:val="true"/>
    </w:pPr>
    <w:rPr>
      <w:sz w:val="48"/>
      <w:szCs w:val="48"/>
    </w:rPr>
  </w:style>
  <w:style w:type="character" w:styleId="35">
    <w:name w:val="Title Char"/>
    <w:basedOn w:val="663"/>
    <w:link w:val="34"/>
    <w:uiPriority w:val="10"/>
    <w:pPr>
      <w:pBdr/>
      <w:spacing/>
      <w:ind/>
    </w:pPr>
    <w:rPr>
      <w:sz w:val="48"/>
      <w:szCs w:val="48"/>
    </w:rPr>
  </w:style>
  <w:style w:type="paragraph" w:styleId="36">
    <w:name w:val="Subtitle"/>
    <w:basedOn w:val="661"/>
    <w:next w:val="661"/>
    <w:link w:val="37"/>
    <w:uiPriority w:val="11"/>
    <w:qFormat/>
    <w:pPr>
      <w:pBdr/>
      <w:spacing w:after="200" w:before="200"/>
      <w:ind/>
    </w:pPr>
    <w:rPr>
      <w:sz w:val="24"/>
      <w:szCs w:val="24"/>
    </w:rPr>
  </w:style>
  <w:style w:type="character" w:styleId="37">
    <w:name w:val="Subtitle Char"/>
    <w:basedOn w:val="663"/>
    <w:link w:val="36"/>
    <w:uiPriority w:val="11"/>
    <w:pPr>
      <w:pBdr/>
      <w:spacing/>
      <w:ind/>
    </w:pPr>
    <w:rPr>
      <w:sz w:val="24"/>
      <w:szCs w:val="24"/>
    </w:rPr>
  </w:style>
  <w:style w:type="paragraph" w:styleId="38">
    <w:name w:val="Quote"/>
    <w:basedOn w:val="661"/>
    <w:next w:val="661"/>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61"/>
    <w:next w:val="661"/>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61"/>
    <w:link w:val="43"/>
    <w:uiPriority w:val="99"/>
    <w:unhideWhenUsed/>
    <w:pPr>
      <w:pBdr/>
      <w:tabs>
        <w:tab w:val="center" w:leader="none" w:pos="7143"/>
        <w:tab w:val="right" w:leader="none" w:pos="14287"/>
      </w:tabs>
      <w:spacing w:after="0" w:line="240" w:lineRule="auto"/>
      <w:ind/>
    </w:pPr>
  </w:style>
  <w:style w:type="character" w:styleId="43">
    <w:name w:val="Header Char"/>
    <w:basedOn w:val="663"/>
    <w:link w:val="42"/>
    <w:uiPriority w:val="99"/>
    <w:pPr>
      <w:pBdr/>
      <w:spacing/>
      <w:ind/>
    </w:pPr>
  </w:style>
  <w:style w:type="paragraph" w:styleId="44">
    <w:name w:val="Footer"/>
    <w:basedOn w:val="661"/>
    <w:link w:val="47"/>
    <w:uiPriority w:val="99"/>
    <w:unhideWhenUsed/>
    <w:pPr>
      <w:pBdr/>
      <w:tabs>
        <w:tab w:val="center" w:leader="none" w:pos="7143"/>
        <w:tab w:val="right" w:leader="none" w:pos="14287"/>
      </w:tabs>
      <w:spacing w:after="0" w:line="240" w:lineRule="auto"/>
      <w:ind/>
    </w:pPr>
  </w:style>
  <w:style w:type="character" w:styleId="45">
    <w:name w:val="Footer Char"/>
    <w:basedOn w:val="663"/>
    <w:link w:val="44"/>
    <w:uiPriority w:val="99"/>
    <w:pPr>
      <w:pBdr/>
      <w:spacing/>
      <w:ind/>
    </w:pPr>
  </w:style>
  <w:style w:type="character" w:styleId="47">
    <w:name w:val="Caption Char"/>
    <w:basedOn w:val="672"/>
    <w:link w:val="44"/>
    <w:uiPriority w:val="99"/>
    <w:pPr>
      <w:pBdr/>
      <w:spacing/>
      <w:ind/>
    </w:pPr>
  </w:style>
  <w:style w:type="table" w:styleId="48">
    <w:name w:val="Table Grid"/>
    <w:basedOn w:val="664"/>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664"/>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664"/>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664"/>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664"/>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664"/>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664"/>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664"/>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664"/>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664"/>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664"/>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664"/>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664"/>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664"/>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664"/>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664"/>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664"/>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664"/>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664"/>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664"/>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664"/>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664"/>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664"/>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664"/>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664"/>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664"/>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664"/>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664"/>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664"/>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664"/>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ec9"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664"/>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664"/>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664"/>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664"/>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664"/>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66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66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3" w:themeFill="accent1" w:themeFillTint="34"/>
    </w:tblPr>
    <w:tcPr>
      <w:tcBorders/>
    </w:tcPr>
    <w:tblStylePr w:type="band1Horz">
      <w:pPr>
        <w:pBdr/>
        <w:spacing/>
        <w:ind/>
      </w:pPr>
      <w:tblPr>
        <w:tblBorders/>
      </w:tblPr>
      <w:tcPr>
        <w:shd w:val="clear" w:color="ffffff" w:themeColor="accent1" w:themeTint="75" w:fill="a9bee4" w:themeFill="accent1" w:themeFillTint="75"/>
        <w:tcBorders/>
      </w:tcPr>
    </w:tblStylePr>
    <w:tblStylePr w:type="band1Vert">
      <w:pPr>
        <w:pBdr/>
        <w:spacing/>
        <w:ind/>
      </w:pPr>
      <w:tblPr>
        <w:tblBorders/>
      </w:tblPr>
      <w:tcPr>
        <w:shd w:val="clear" w:color="ffffff" w:themeColor="accent1" w:themeTint="75" w:fill="a9bee4"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66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6d7" w:themeFill="accent2" w:themeFillTint="32"/>
    </w:tblPr>
    <w:tcPr>
      <w:tcBorders/>
    </w:tcPr>
    <w:tblStylePr w:type="band1Horz">
      <w:pPr>
        <w:pBdr/>
        <w:spacing/>
        <w:ind/>
      </w:pPr>
      <w:tblPr>
        <w:tblBorders/>
      </w:tblPr>
      <w:tcPr>
        <w:shd w:val="clear" w:color="ffffff" w:themeColor="accent2" w:themeTint="75" w:fill="f7c3a0" w:themeFill="accent2" w:themeFillTint="75"/>
        <w:tcBorders/>
      </w:tcPr>
    </w:tblStylePr>
    <w:tblStylePr w:type="band1Vert">
      <w:pPr>
        <w:pBdr/>
        <w:spacing/>
        <w:ind/>
      </w:pPr>
      <w:tblPr>
        <w:tblBorders/>
      </w:tblPr>
      <w:tcPr>
        <w:shd w:val="clear" w:color="ffffff" w:themeColor="accent2" w:themeTint="75" w:fill="f7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66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66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ff2cb" w:themeFill="accent4" w:themeFillTint="34"/>
    </w:tblPr>
    <w:tcPr>
      <w:tcBorders/>
    </w:tcPr>
    <w:tblStylePr w:type="band1Horz">
      <w:pPr>
        <w:pBdr/>
        <w:spacing/>
        <w:ind/>
      </w:pPr>
      <w:tblPr>
        <w:tblBorders/>
      </w:tblPr>
      <w:tcPr>
        <w:shd w:val="clear" w:color="ffffff" w:themeColor="accent4" w:themeTint="75" w:fill="ffe28a" w:themeFill="accent4" w:themeFillTint="75"/>
        <w:tcBorders/>
      </w:tcPr>
    </w:tblStylePr>
    <w:tblStylePr w:type="band1Vert">
      <w:pPr>
        <w:pBdr/>
        <w:spacing/>
        <w:ind/>
      </w:pPr>
      <w:tblPr>
        <w:tblBorders/>
      </w:tblPr>
      <w:tcPr>
        <w:shd w:val="clear" w:color="ffffff" w:themeColor="accent4" w:themeTint="75"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66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eebf6" w:themeFill="accent5" w:themeFillTint="34"/>
    </w:tblPr>
    <w:tcPr>
      <w:tcBorders/>
    </w:tcPr>
    <w:tblStylePr w:type="band1Horz">
      <w:pPr>
        <w:pBdr/>
        <w:spacing/>
        <w:ind/>
      </w:pPr>
      <w:tblPr>
        <w:tblBorders/>
      </w:tblPr>
      <w:tcPr>
        <w:shd w:val="clear" w:color="ffffff" w:themeColor="accent5" w:themeTint="75" w:fill="b4d1ec" w:themeFill="accent5" w:themeFillTint="75"/>
        <w:tcBorders/>
      </w:tcPr>
    </w:tblStylePr>
    <w:tblStylePr w:type="band1Vert">
      <w:pPr>
        <w:pBdr/>
        <w:spacing/>
        <w:ind/>
      </w:pPr>
      <w:tblPr>
        <w:tblBorders/>
      </w:tblPr>
      <w:tcPr>
        <w:shd w:val="clear" w:color="ffffff" w:themeColor="accent5" w:themeTint="75" w:fill="b4d1ec"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66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9" w:themeFill="accent6" w:themeFillTint="34"/>
    </w:tblPr>
    <w:tcPr>
      <w:tcBorders/>
    </w:tcPr>
    <w:tblStylePr w:type="band1Horz">
      <w:pPr>
        <w:pBdr/>
        <w:spacing/>
        <w:ind/>
      </w:pPr>
      <w:tblPr>
        <w:tblBorders/>
      </w:tblPr>
      <w:tcPr>
        <w:shd w:val="clear" w:color="ffffff" w:themeColor="accent6" w:themeTint="75" w:fill="bddba8" w:themeFill="accent6" w:themeFillTint="75"/>
        <w:tcBorders/>
      </w:tcPr>
    </w:tblStylePr>
    <w:tblStylePr w:type="band1Vert">
      <w:pPr>
        <w:pBdr/>
        <w:spacing/>
        <w:ind/>
      </w:pPr>
      <w:tblPr>
        <w:tblBorders/>
      </w:tblPr>
      <w:tcPr>
        <w:shd w:val="clear" w:color="ffffff" w:themeColor="accent6" w:themeTint="75" w:fill="bd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664"/>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664"/>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3" w:themeFill="accent1" w:themeFillTint="34"/>
        <w:tcBorders/>
      </w:tcPr>
    </w:tblStylePr>
    <w:tblStylePr w:type="band1Vert">
      <w:pPr>
        <w:pBdr/>
        <w:spacing/>
        <w:ind/>
      </w:pPr>
      <w:tblPr>
        <w:tblBorders/>
      </w:tblPr>
      <w:tcPr>
        <w:shd w:val="clear" w:color="ffffff" w:themeColor="accent1" w:themeTint="34" w:fill="d9e2f3"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760ab" w:themeColor="accent1" w:themeTint="80" w:themeShade="95"/>
      </w:rPr>
      <w:pPr>
        <w:pBdr/>
        <w:spacing/>
        <w:ind/>
      </w:pPr>
      <w:tblPr>
        <w:tblBorders/>
      </w:tblPr>
      <w:tcPr>
        <w:tcBorders/>
      </w:tcPr>
    </w:tblStylePr>
    <w:tblStylePr w:type="firstRow">
      <w:rPr>
        <w:b/>
        <w:color w:val="3760ab" w:themeColor="accent1" w:themeTint="80" w:themeShade="95"/>
      </w:rPr>
      <w:pPr>
        <w:pBdr/>
        <w:spacing/>
        <w:ind/>
      </w:pPr>
      <w:tblPr>
        <w:tblBorders/>
      </w:tblPr>
      <w:tcPr>
        <w:tcBorders>
          <w:bottom w:val="single" w:color="000000" w:themeColor="accent1" w:themeTint="80" w:sz="12" w:space="0"/>
        </w:tcBorders>
      </w:tcPr>
    </w:tblStylePr>
    <w:tblStylePr w:type="lastCol">
      <w:rPr>
        <w:b/>
        <w:color w:val="3760ab" w:themeColor="accent1" w:themeTint="80" w:themeShade="95"/>
      </w:rPr>
      <w:pPr>
        <w:pBdr/>
        <w:spacing/>
        <w:ind/>
      </w:pPr>
      <w:tblPr>
        <w:tblBorders/>
      </w:tblPr>
      <w:tcPr>
        <w:tcBorders/>
      </w:tcPr>
    </w:tblStylePr>
    <w:tblStylePr w:type="lastRow">
      <w:rPr>
        <w:b/>
        <w:color w:val="3760ab"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664"/>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12"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664"/>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664"/>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12"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664"/>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eebf6" w:themeFill="accent5" w:themeFillTint="34"/>
        <w:tcBorders/>
      </w:tcPr>
    </w:tblStylePr>
    <w:tblStylePr w:type="band1Vert">
      <w:pPr>
        <w:pBdr/>
        <w:spacing/>
        <w:ind/>
      </w:pPr>
      <w:tblPr>
        <w:tblBorders/>
      </w:tblPr>
      <w:tcPr>
        <w:shd w:val="clear" w:color="ffffff" w:themeColor="accent5" w:themeTint="34" w:fill="de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5" w:themeShade="95"/>
      </w:rPr>
      <w:pPr>
        <w:pBdr/>
        <w:spacing/>
        <w:ind/>
      </w:pPr>
      <w:tblPr>
        <w:tblBorders/>
      </w:tblPr>
      <w:tcPr>
        <w:tcBorders/>
      </w:tcPr>
    </w:tblStylePr>
    <w:tblStylePr w:type="firstRow">
      <w:rPr>
        <w:b/>
        <w:color w:val="245b8d" w:themeColor="accent5" w:themeShade="95"/>
      </w:rPr>
      <w:pPr>
        <w:pBdr/>
        <w:spacing/>
        <w:ind/>
      </w:pPr>
      <w:tblPr>
        <w:tblBorders/>
      </w:tblPr>
      <w:tcPr>
        <w:tcBorders>
          <w:bottom w:val="single" w:color="000000" w:themeColor="accent5" w:sz="12" w:space="0"/>
        </w:tcBorders>
      </w:tcPr>
    </w:tblStylePr>
    <w:tblStylePr w:type="lastCol">
      <w:rPr>
        <w:b/>
        <w:color w:val="245b8d" w:themeColor="accent5" w:themeShade="95"/>
      </w:rPr>
      <w:pPr>
        <w:pBdr/>
        <w:spacing/>
        <w:ind/>
      </w:pPr>
      <w:tblPr>
        <w:tblBorders/>
      </w:tblPr>
      <w:tcPr>
        <w:tcBorders/>
      </w:tcPr>
    </w:tblStylePr>
    <w:tblStylePr w:type="lastRow">
      <w:rPr>
        <w:b/>
        <w:color w:val="245b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664"/>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5" w:themeShade="95"/>
      </w:rPr>
      <w:pPr>
        <w:pBdr/>
        <w:spacing/>
        <w:ind/>
      </w:pPr>
      <w:tblPr>
        <w:tblBorders/>
      </w:tblPr>
      <w:tcPr>
        <w:tcBorders/>
      </w:tcPr>
    </w:tblStylePr>
    <w:tblStylePr w:type="firstRow">
      <w:rPr>
        <w:b/>
        <w:color w:val="245b8d" w:themeColor="accent5" w:themeShade="95"/>
      </w:rPr>
      <w:pPr>
        <w:pBdr/>
        <w:spacing/>
        <w:ind/>
      </w:pPr>
      <w:tblPr>
        <w:tblBorders/>
      </w:tblPr>
      <w:tcPr>
        <w:tcBorders>
          <w:bottom w:val="single" w:color="000000" w:themeColor="accent6" w:sz="12" w:space="0"/>
        </w:tcBorders>
      </w:tcPr>
    </w:tblStylePr>
    <w:tblStylePr w:type="lastCol">
      <w:rPr>
        <w:b/>
        <w:color w:val="245b8d" w:themeColor="accent5" w:themeShade="95"/>
      </w:rPr>
      <w:pPr>
        <w:pBdr/>
        <w:spacing/>
        <w:ind/>
      </w:pPr>
      <w:tblPr>
        <w:tblBorders/>
      </w:tblPr>
      <w:tcPr>
        <w:tcBorders/>
      </w:tcPr>
    </w:tblStylePr>
    <w:tblStylePr w:type="lastRow">
      <w:rPr>
        <w:b/>
        <w:color w:val="245b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664"/>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664"/>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760ab" w:themeColor="accent1" w:themeTint="80" w:themeShade="95"/>
        <w:sz w:val="22"/>
      </w:rPr>
      <w:pPr>
        <w:pBdr/>
        <w:spacing/>
        <w:ind/>
      </w:pPr>
      <w:tblPr>
        <w:tblBorders/>
      </w:tblPr>
      <w:tcPr>
        <w:shd w:val="clear" w:color="ffffff" w:themeColor="accent1" w:themeTint="34" w:fill="d9e2f3" w:themeFill="accent1" w:themeFillTint="34"/>
        <w:tcBorders/>
      </w:tcPr>
    </w:tblStylePr>
    <w:tblStylePr w:type="band1Vert">
      <w:pPr>
        <w:pBdr/>
        <w:spacing/>
        <w:ind/>
      </w:pPr>
      <w:tblPr>
        <w:tblBorders/>
      </w:tblPr>
      <w:tcPr>
        <w:shd w:val="clear" w:color="ffffff" w:themeColor="accent1" w:themeTint="34" w:fill="d9e2f3" w:themeFill="accent1" w:themeFillTint="34"/>
        <w:tcBorders/>
      </w:tcPr>
    </w:tblStylePr>
    <w:tblStylePr w:type="band2Horz">
      <w:rPr>
        <w:rFonts w:ascii="Arial" w:hAnsi="Arial"/>
        <w:color w:val="3760ab"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760ab"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760ab"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760ab"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760ab"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664"/>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32" w:fill="fbe6d7" w:themeFill="accent2" w:themeFillTint="32"/>
        <w:tcBorders/>
      </w:tcPr>
    </w:tblStylePr>
    <w:tblStylePr w:type="band1Vert">
      <w:pPr>
        <w:pBdr/>
        <w:spacing/>
        <w:ind/>
      </w:pPr>
      <w:tblPr>
        <w:tblBorders/>
      </w:tblPr>
      <w:tcPr>
        <w:shd w:val="clear" w:color="ffffff" w:themeColor="accent2" w:themeTint="32" w:fill="fbe6d7" w:themeFill="accent2" w:themeFillTint="32"/>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a5d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664"/>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664"/>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34" w:fill="fff2cb" w:themeFill="accent4" w:themeFillTint="34"/>
        <w:tcBorders/>
      </w:tcPr>
    </w:tblStylePr>
    <w:tblStylePr w:type="band1Vert">
      <w:pPr>
        <w:pBdr/>
        <w:spacing/>
        <w:ind/>
      </w:pPr>
      <w:tblPr>
        <w:tblBorders/>
      </w:tblPr>
      <w:tcPr>
        <w:shd w:val="clear" w:color="ffffff" w:themeColor="accent4" w:themeTint="34" w:fill="fff2cb" w:themeFill="accent4" w:themeFillTint="34"/>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d09d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664"/>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b8d" w:themeColor="accent5" w:themeShade="95"/>
        <w:sz w:val="22"/>
      </w:rPr>
      <w:pPr>
        <w:pBdr/>
        <w:spacing/>
        <w:ind/>
      </w:pPr>
      <w:tblPr>
        <w:tblBorders/>
      </w:tblPr>
      <w:tcPr>
        <w:shd w:val="clear" w:color="ffffff" w:themeColor="accent5" w:themeTint="34" w:fill="deebf6" w:themeFill="accent5" w:themeFillTint="34"/>
        <w:tcBorders/>
      </w:tcPr>
    </w:tblStylePr>
    <w:tblStylePr w:type="band1Vert">
      <w:pPr>
        <w:pBdr/>
        <w:spacing/>
        <w:ind/>
      </w:pPr>
      <w:tblPr>
        <w:tblBorders/>
      </w:tblPr>
      <w:tcPr>
        <w:shd w:val="clear" w:color="ffffff" w:themeColor="accent5" w:themeTint="34" w:fill="deebf6" w:themeFill="accent5" w:themeFillTint="34"/>
        <w:tcBorders/>
      </w:tcPr>
    </w:tblStylePr>
    <w:tblStylePr w:type="band2Horz">
      <w:rPr>
        <w:rFonts w:ascii="Arial" w:hAnsi="Arial"/>
        <w:color w:val="245b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b8d"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45b8d"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b8d"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45b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664"/>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16529" w:themeColor="accent6" w:themeShade="95"/>
        <w:sz w:val="22"/>
      </w:rPr>
      <w:pPr>
        <w:pBdr/>
        <w:spacing/>
        <w:ind/>
      </w:pPr>
      <w:tblPr>
        <w:tblBorders/>
      </w:tblPr>
      <w:tcPr>
        <w:shd w:val="clear" w:color="ffffff" w:themeColor="accent6" w:themeTint="34" w:fill="e2efd9" w:themeFill="accent6" w:themeFillTint="34"/>
        <w:tcBorders/>
      </w:tcPr>
    </w:tblStylePr>
    <w:tblStylePr w:type="band1Vert">
      <w:pPr>
        <w:pBdr/>
        <w:spacing/>
        <w:ind/>
      </w:pPr>
      <w:tblPr>
        <w:tblBorders/>
      </w:tblPr>
      <w:tcPr>
        <w:shd w:val="clear" w:color="ffffff" w:themeColor="accent6" w:themeTint="34" w:fill="e2efd9" w:themeFill="accent6" w:themeFillTint="34"/>
        <w:tcBorders/>
      </w:tcPr>
    </w:tblStylePr>
    <w:tblStylePr w:type="band2Horz">
      <w:rPr>
        <w:rFonts w:ascii="Arial" w:hAnsi="Arial"/>
        <w:color w:val="4165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16529"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416529"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16529"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4165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66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66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66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66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66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66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66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664"/>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664"/>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664"/>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664"/>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664"/>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664"/>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664"/>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664"/>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664"/>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664"/>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2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664"/>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664"/>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9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664"/>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3e6"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664"/>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9d1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664"/>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664"/>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0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664"/>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664"/>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664"/>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664"/>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6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664"/>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664"/>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664"/>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664"/>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285" w:themeFill="accent2" w:themeFillTint="97"/>
    </w:tblPr>
    <w:tcPr>
      <w:tcBorders/>
    </w:tcPr>
    <w:tblStylePr w:type="band1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2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2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2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664"/>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664"/>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965" w:themeFill="accent4" w:themeFillTint="9A"/>
    </w:tblPr>
    <w:tcPr>
      <w:tcBorders/>
    </w:tcPr>
    <w:tblStylePr w:type="band1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965"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965"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965"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664"/>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3e6" w:themeFill="accent5" w:themeFillTint="9A"/>
    </w:tblPr>
    <w:tcPr>
      <w:tcBorders/>
    </w:tcPr>
    <w:tblStylePr w:type="band1Horz">
      <w:pPr>
        <w:pBdr/>
        <w:spacing/>
        <w:ind/>
      </w:pPr>
      <w:tblPr>
        <w:tblBorders/>
      </w:tblPr>
      <w:tcPr>
        <w:shd w:val="clear" w:color="ffffff" w:themeColor="accent5" w:themeTint="9A" w:fill="9cc3e6"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3e6"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3e6"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3e6"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664"/>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9d18f" w:themeFill="accent6" w:themeFillTint="98"/>
    </w:tblPr>
    <w:tcPr>
      <w:tcBorders/>
    </w:tcPr>
    <w:tblStylePr w:type="band1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9d1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9d1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9d1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664"/>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664"/>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1" w:themeShade="95"/>
      </w:rPr>
      <w:pPr>
        <w:pBdr/>
        <w:spacing/>
        <w:ind/>
      </w:pPr>
      <w:tblPr>
        <w:tblBorders/>
      </w:tblPr>
      <w:tcPr>
        <w:tcBorders/>
      </w:tcPr>
    </w:tblStylePr>
    <w:tblStylePr w:type="firstRow">
      <w:rPr>
        <w:b/>
        <w:color w:val="254275" w:themeColor="accent1" w:themeShade="95"/>
      </w:rPr>
      <w:pPr>
        <w:pBdr/>
        <w:spacing/>
        <w:ind/>
      </w:pPr>
      <w:tblPr>
        <w:tblBorders/>
      </w:tblPr>
      <w:tcPr>
        <w:tcBorders>
          <w:bottom w:val="single" w:color="000000" w:themeColor="accent1" w:sz="4" w:space="0"/>
        </w:tcBorders>
      </w:tcPr>
    </w:tblStylePr>
    <w:tblStylePr w:type="lastCol">
      <w:rPr>
        <w:b/>
        <w:color w:val="254275" w:themeColor="accent1" w:themeShade="95"/>
      </w:rPr>
      <w:pPr>
        <w:pBdr/>
        <w:spacing/>
        <w:ind/>
      </w:pPr>
      <w:tblPr>
        <w:tblBorders/>
      </w:tblPr>
      <w:tcPr>
        <w:tcBorders/>
      </w:tcPr>
    </w:tblStylePr>
    <w:tblStylePr w:type="lastRow">
      <w:rPr>
        <w:b/>
        <w:color w:val="254275"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664"/>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themeTint="97" w:sz="4"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664"/>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664"/>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themeTint="9A" w:sz="4"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664"/>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d74b4" w:themeColor="accent5" w:themeTint="9A" w:themeShade="95"/>
      </w:rPr>
      <w:pPr>
        <w:pBdr/>
        <w:spacing/>
        <w:ind/>
      </w:pPr>
      <w:tblPr>
        <w:tblBorders/>
      </w:tblPr>
      <w:tcPr>
        <w:tcBorders/>
      </w:tcPr>
    </w:tblStylePr>
    <w:tblStylePr w:type="firstRow">
      <w:rPr>
        <w:b/>
        <w:color w:val="2d74b4" w:themeColor="accent5" w:themeTint="9A" w:themeShade="95"/>
      </w:rPr>
      <w:pPr>
        <w:pBdr/>
        <w:spacing/>
        <w:ind/>
      </w:pPr>
      <w:tblPr>
        <w:tblBorders/>
      </w:tblPr>
      <w:tcPr>
        <w:tcBorders>
          <w:bottom w:val="single" w:color="000000" w:themeColor="accent5" w:themeTint="9A" w:sz="4" w:space="0"/>
        </w:tcBorders>
      </w:tcPr>
    </w:tblStylePr>
    <w:tblStylePr w:type="lastCol">
      <w:rPr>
        <w:b/>
        <w:color w:val="2d74b4" w:themeColor="accent5" w:themeTint="9A" w:themeShade="95"/>
      </w:rPr>
      <w:pPr>
        <w:pBdr/>
        <w:spacing/>
        <w:ind/>
      </w:pPr>
      <w:tblPr>
        <w:tblBorders/>
      </w:tblPr>
      <w:tcPr>
        <w:tcBorders/>
      </w:tcPr>
    </w:tblStylePr>
    <w:tblStylePr w:type="lastRow">
      <w:rPr>
        <w:b/>
        <w:color w:val="2d74b4"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664"/>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e923c" w:themeColor="accent6" w:themeTint="98" w:themeShade="95"/>
      </w:rPr>
      <w:pPr>
        <w:pBdr/>
        <w:spacing/>
        <w:ind/>
      </w:pPr>
      <w:tblPr>
        <w:tblBorders/>
      </w:tblPr>
      <w:tcPr>
        <w:tcBorders/>
      </w:tcPr>
    </w:tblStylePr>
    <w:tblStylePr w:type="firstRow">
      <w:rPr>
        <w:b/>
        <w:color w:val="5e923c" w:themeColor="accent6" w:themeTint="98" w:themeShade="95"/>
      </w:rPr>
      <w:pPr>
        <w:pBdr/>
        <w:spacing/>
        <w:ind/>
      </w:pPr>
      <w:tblPr>
        <w:tblBorders/>
      </w:tblPr>
      <w:tcPr>
        <w:tcBorders>
          <w:bottom w:val="single" w:color="000000" w:themeColor="accent6" w:themeTint="98" w:sz="4" w:space="0"/>
        </w:tcBorders>
      </w:tcPr>
    </w:tblStylePr>
    <w:tblStylePr w:type="lastCol">
      <w:rPr>
        <w:b/>
        <w:color w:val="5e923c" w:themeColor="accent6" w:themeTint="98" w:themeShade="95"/>
      </w:rPr>
      <w:pPr>
        <w:pBdr/>
        <w:spacing/>
        <w:ind/>
      </w:pPr>
      <w:tblPr>
        <w:tblBorders/>
      </w:tblPr>
      <w:tcPr>
        <w:tcBorders/>
      </w:tcPr>
    </w:tblStylePr>
    <w:tblStylePr w:type="lastRow">
      <w:rPr>
        <w:b/>
        <w:color w:val="5e92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664"/>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664"/>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275" w:themeColor="accent1" w:themeShade="95"/>
        <w:sz w:val="22"/>
      </w:rPr>
      <w:pPr>
        <w:pBdr/>
        <w:spacing/>
        <w:ind/>
      </w:pPr>
      <w:tblPr>
        <w:tblBorders/>
      </w:tblPr>
      <w:tcPr>
        <w:shd w:val="clear" w:color="ffffff" w:themeColor="accent1" w:themeTint="40" w:fill="d0dcf0" w:themeFill="accent1" w:themeFillTint="40"/>
        <w:tcBorders/>
      </w:tcPr>
    </w:tblStylePr>
    <w:tblStylePr w:type="band1Vert">
      <w:pPr>
        <w:pBdr/>
        <w:spacing/>
        <w:ind/>
      </w:pPr>
      <w:tblPr>
        <w:tblBorders/>
      </w:tblPr>
      <w:tcPr>
        <w:shd w:val="clear" w:color="ffffff" w:themeColor="accent1" w:themeTint="40" w:fill="d0dcf0" w:themeFill="accent1" w:themeFillTint="40"/>
        <w:tcBorders/>
      </w:tcPr>
    </w:tblStylePr>
    <w:tblStylePr w:type="band2Horz">
      <w:rPr>
        <w:rFonts w:ascii="Arial" w:hAnsi="Arial"/>
        <w:color w:val="2542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275"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54275"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275"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54275"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275" w:themeColor="accent1" w:themeShade="95"/>
        <w:sz w:val="22"/>
      </w:rPr>
      <w:pPr>
        <w:pBdr/>
        <w:spacing/>
        <w:ind/>
      </w:pPr>
      <w:tblPr>
        <w:tblBorders/>
      </w:tblPr>
      <w:tcPr>
        <w:tcBorders/>
      </w:tcPr>
    </w:tblStylePr>
  </w:style>
  <w:style w:type="table" w:styleId="148">
    <w:name w:val="List Table 7 Colorful - Accent 2"/>
    <w:basedOn w:val="664"/>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a5d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a5d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a5d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ca5d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a5d12" w:themeColor="accent2" w:themeTint="97" w:themeShade="95"/>
        <w:sz w:val="22"/>
      </w:rPr>
      <w:pPr>
        <w:pBdr/>
        <w:spacing/>
        <w:ind/>
      </w:pPr>
      <w:tblPr>
        <w:tblBorders/>
      </w:tblPr>
      <w:tcPr>
        <w:tcBorders/>
      </w:tcPr>
    </w:tblStylePr>
  </w:style>
  <w:style w:type="table" w:styleId="149">
    <w:name w:val="List Table 7 Colorful - Accent 3"/>
    <w:basedOn w:val="664"/>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150">
    <w:name w:val="List Table 7 Colorful - Accent 4"/>
    <w:basedOn w:val="664"/>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d09d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09d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d09d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d09d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09d00" w:themeColor="accent4" w:themeTint="9A" w:themeShade="95"/>
        <w:sz w:val="22"/>
      </w:rPr>
      <w:pPr>
        <w:pBdr/>
        <w:spacing/>
        <w:ind/>
      </w:pPr>
      <w:tblPr>
        <w:tblBorders/>
      </w:tblPr>
      <w:tcPr>
        <w:tcBorders/>
      </w:tcPr>
    </w:tblStylePr>
  </w:style>
  <w:style w:type="table" w:styleId="151">
    <w:name w:val="List Table 7 Colorful - Accent 5"/>
    <w:basedOn w:val="664"/>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d74b4" w:themeColor="accent5" w:themeTint="9A" w:themeShade="95"/>
        <w:sz w:val="22"/>
      </w:rPr>
      <w:pPr>
        <w:pBdr/>
        <w:spacing/>
        <w:ind/>
      </w:pPr>
      <w:tblPr>
        <w:tblBorders/>
      </w:tblPr>
      <w:tcPr>
        <w:shd w:val="clear" w:color="ffffff" w:themeColor="accent5" w:themeTint="40" w:fill="d6e6f4" w:themeFill="accent5" w:themeFillTint="40"/>
        <w:tcBorders/>
      </w:tcPr>
    </w:tblStylePr>
    <w:tblStylePr w:type="band1Vert">
      <w:pPr>
        <w:pBdr/>
        <w:spacing/>
        <w:ind/>
      </w:pPr>
      <w:tblPr>
        <w:tblBorders/>
      </w:tblPr>
      <w:tcPr>
        <w:shd w:val="clear" w:color="ffffff" w:themeColor="accent5" w:themeTint="40" w:fill="d6e6f4" w:themeFill="accent5" w:themeFillTint="40"/>
        <w:tcBorders/>
      </w:tcPr>
    </w:tblStylePr>
    <w:tblStylePr w:type="band2Horz">
      <w:rPr>
        <w:rFonts w:ascii="Arial" w:hAnsi="Arial"/>
        <w:color w:val="2d74b4"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d74b4"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2d74b4"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d74b4"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2d74b4"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d74b4" w:themeColor="accent5" w:themeTint="9A" w:themeShade="95"/>
        <w:sz w:val="22"/>
      </w:rPr>
      <w:pPr>
        <w:pBdr/>
        <w:spacing/>
        <w:ind/>
      </w:pPr>
      <w:tblPr>
        <w:tblBorders/>
      </w:tblPr>
      <w:tcPr>
        <w:tcBorders/>
      </w:tcPr>
    </w:tblStylePr>
  </w:style>
  <w:style w:type="table" w:styleId="152">
    <w:name w:val="List Table 7 Colorful - Accent 6"/>
    <w:basedOn w:val="664"/>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e923c" w:themeColor="accent6" w:themeTint="98" w:themeShade="95"/>
        <w:sz w:val="22"/>
      </w:rPr>
      <w:pPr>
        <w:pBdr/>
        <w:spacing/>
        <w:ind/>
      </w:pPr>
      <w:tblPr>
        <w:tblBorders/>
      </w:tblPr>
      <w:tcPr>
        <w:shd w:val="clear" w:color="ffffff" w:themeColor="accent6" w:themeTint="40" w:fill="dbecd0" w:themeFill="accent6" w:themeFillTint="40"/>
        <w:tcBorders/>
      </w:tcPr>
    </w:tblStylePr>
    <w:tblStylePr w:type="band1Vert">
      <w:pPr>
        <w:pBdr/>
        <w:spacing/>
        <w:ind/>
      </w:pPr>
      <w:tblPr>
        <w:tblBorders/>
      </w:tblPr>
      <w:tcPr>
        <w:shd w:val="clear" w:color="ffffff" w:themeColor="accent6" w:themeTint="40" w:fill="dbecd0" w:themeFill="accent6" w:themeFillTint="40"/>
        <w:tcBorders/>
      </w:tcPr>
    </w:tblStylePr>
    <w:tblStylePr w:type="band2Horz">
      <w:rPr>
        <w:rFonts w:ascii="Arial" w:hAnsi="Arial"/>
        <w:color w:val="5e92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e923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e923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5e92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e923c" w:themeColor="accent6" w:themeTint="98" w:themeShade="95"/>
        <w:sz w:val="22"/>
      </w:rPr>
      <w:pPr>
        <w:pBdr/>
        <w:spacing/>
        <w:ind/>
      </w:pPr>
      <w:tblPr>
        <w:tblBorders/>
      </w:tblPr>
      <w:tcPr>
        <w:tcBorders/>
      </w:tcPr>
    </w:tblStylePr>
  </w:style>
  <w:style w:type="table" w:styleId="153">
    <w:name w:val="Lined - Accent"/>
    <w:basedOn w:val="66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66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66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66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66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66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66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664"/>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664"/>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4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ec9"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664"/>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6d7"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664"/>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664"/>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664"/>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e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664"/>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9"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664"/>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664"/>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664"/>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664"/>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664"/>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664"/>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664"/>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75">
    <w:name w:val="footnote text"/>
    <w:basedOn w:val="661"/>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663"/>
    <w:uiPriority w:val="99"/>
    <w:unhideWhenUsed/>
    <w:pPr>
      <w:pBdr/>
      <w:spacing/>
      <w:ind/>
    </w:pPr>
    <w:rPr>
      <w:vertAlign w:val="superscript"/>
    </w:rPr>
  </w:style>
  <w:style w:type="paragraph" w:styleId="178">
    <w:name w:val="endnote text"/>
    <w:basedOn w:val="661"/>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663"/>
    <w:uiPriority w:val="99"/>
    <w:semiHidden/>
    <w:unhideWhenUsed/>
    <w:pPr>
      <w:pBdr/>
      <w:spacing/>
      <w:ind/>
    </w:pPr>
    <w:rPr>
      <w:vertAlign w:val="superscript"/>
    </w:rPr>
  </w:style>
  <w:style w:type="paragraph" w:styleId="181">
    <w:name w:val="toc 1"/>
    <w:basedOn w:val="661"/>
    <w:next w:val="661"/>
    <w:uiPriority w:val="39"/>
    <w:unhideWhenUsed/>
    <w:pPr>
      <w:pBdr/>
      <w:spacing w:after="57"/>
      <w:ind w:right="0" w:firstLine="0" w:left="0"/>
    </w:pPr>
  </w:style>
  <w:style w:type="paragraph" w:styleId="182">
    <w:name w:val="toc 2"/>
    <w:basedOn w:val="661"/>
    <w:next w:val="661"/>
    <w:uiPriority w:val="39"/>
    <w:unhideWhenUsed/>
    <w:pPr>
      <w:pBdr/>
      <w:spacing w:after="57"/>
      <w:ind w:right="0" w:firstLine="0" w:left="283"/>
    </w:pPr>
  </w:style>
  <w:style w:type="paragraph" w:styleId="183">
    <w:name w:val="toc 3"/>
    <w:basedOn w:val="661"/>
    <w:next w:val="661"/>
    <w:uiPriority w:val="39"/>
    <w:unhideWhenUsed/>
    <w:pPr>
      <w:pBdr/>
      <w:spacing w:after="57"/>
      <w:ind w:right="0" w:firstLine="0" w:left="567"/>
    </w:pPr>
  </w:style>
  <w:style w:type="paragraph" w:styleId="184">
    <w:name w:val="toc 4"/>
    <w:basedOn w:val="661"/>
    <w:next w:val="661"/>
    <w:uiPriority w:val="39"/>
    <w:unhideWhenUsed/>
    <w:pPr>
      <w:pBdr/>
      <w:spacing w:after="57"/>
      <w:ind w:right="0" w:firstLine="0" w:left="850"/>
    </w:pPr>
  </w:style>
  <w:style w:type="paragraph" w:styleId="185">
    <w:name w:val="toc 5"/>
    <w:basedOn w:val="661"/>
    <w:next w:val="661"/>
    <w:uiPriority w:val="39"/>
    <w:unhideWhenUsed/>
    <w:pPr>
      <w:pBdr/>
      <w:spacing w:after="57"/>
      <w:ind w:right="0" w:firstLine="0" w:left="1134"/>
    </w:pPr>
  </w:style>
  <w:style w:type="paragraph" w:styleId="186">
    <w:name w:val="toc 6"/>
    <w:basedOn w:val="661"/>
    <w:next w:val="661"/>
    <w:uiPriority w:val="39"/>
    <w:unhideWhenUsed/>
    <w:pPr>
      <w:pBdr/>
      <w:spacing w:after="57"/>
      <w:ind w:right="0" w:firstLine="0" w:left="1417"/>
    </w:pPr>
  </w:style>
  <w:style w:type="paragraph" w:styleId="187">
    <w:name w:val="toc 7"/>
    <w:basedOn w:val="661"/>
    <w:next w:val="661"/>
    <w:uiPriority w:val="39"/>
    <w:unhideWhenUsed/>
    <w:pPr>
      <w:pBdr/>
      <w:spacing w:after="57"/>
      <w:ind w:right="0" w:firstLine="0" w:left="1701"/>
    </w:pPr>
  </w:style>
  <w:style w:type="paragraph" w:styleId="188">
    <w:name w:val="toc 8"/>
    <w:basedOn w:val="661"/>
    <w:next w:val="661"/>
    <w:uiPriority w:val="39"/>
    <w:unhideWhenUsed/>
    <w:pPr>
      <w:pBdr/>
      <w:spacing w:after="57"/>
      <w:ind w:right="0" w:firstLine="0" w:left="1984"/>
    </w:pPr>
  </w:style>
  <w:style w:type="paragraph" w:styleId="189">
    <w:name w:val="toc 9"/>
    <w:basedOn w:val="661"/>
    <w:next w:val="661"/>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61"/>
    <w:next w:val="661"/>
    <w:uiPriority w:val="99"/>
    <w:unhideWhenUsed/>
    <w:pPr>
      <w:pBdr/>
      <w:spacing w:after="0" w:afterAutospacing="0"/>
      <w:ind/>
    </w:pPr>
  </w:style>
  <w:style w:type="paragraph" w:styleId="661" w:default="1">
    <w:name w:val="Normal"/>
    <w:qFormat/>
    <w:pPr>
      <w:pBdr/>
      <w:spacing/>
      <w:ind/>
    </w:pPr>
    <w:rPr>
      <w:sz w:val="24"/>
      <w:szCs w:val="24"/>
      <w:lang w:val="ru-RU" w:eastAsia="ru-RU"/>
    </w:rPr>
  </w:style>
  <w:style w:type="paragraph" w:styleId="662">
    <w:name w:val="Heading 2"/>
    <w:basedOn w:val="661"/>
    <w:link w:val="681"/>
    <w:uiPriority w:val="9"/>
    <w:qFormat/>
    <w:pPr>
      <w:pBdr/>
      <w:spacing w:after="100" w:afterAutospacing="1" w:before="100" w:beforeAutospacing="1"/>
      <w:ind/>
      <w:outlineLvl w:val="1"/>
    </w:pPr>
    <w:rPr>
      <w:b/>
      <w:bCs/>
      <w:sz w:val="36"/>
      <w:szCs w:val="36"/>
      <w:lang w:val="uk-UA" w:eastAsia="uk-UA"/>
    </w:rPr>
  </w:style>
  <w:style w:type="character" w:styleId="663" w:default="1">
    <w:name w:val="Default Paragraph Font"/>
    <w:uiPriority w:val="1"/>
    <w:semiHidden/>
    <w:unhideWhenUsed/>
    <w:pPr>
      <w:pBdr/>
      <w:spacing/>
      <w:ind/>
    </w:pPr>
  </w:style>
  <w:style w:type="table" w:styleId="664"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65" w:default="1">
    <w:name w:val="No List"/>
    <w:uiPriority w:val="99"/>
    <w:semiHidden/>
    <w:unhideWhenUsed/>
    <w:pPr>
      <w:pBdr/>
      <w:spacing/>
      <w:ind/>
    </w:pPr>
  </w:style>
  <w:style w:type="character" w:styleId="666">
    <w:name w:val="Hyperlink"/>
    <w:pPr>
      <w:pBdr/>
      <w:spacing/>
      <w:ind/>
    </w:pPr>
    <w:rPr>
      <w:color w:val="0000ff"/>
      <w:u w:val="single"/>
    </w:rPr>
  </w:style>
  <w:style w:type="character" w:styleId="667" w:customStyle="1">
    <w:name w:val="rvts9"/>
    <w:pPr>
      <w:pBdr/>
      <w:spacing/>
      <w:ind/>
    </w:pPr>
  </w:style>
  <w:style w:type="character" w:styleId="668" w:customStyle="1">
    <w:name w:val="rvts23"/>
    <w:pPr>
      <w:pBdr/>
      <w:spacing/>
      <w:ind/>
    </w:pPr>
  </w:style>
  <w:style w:type="paragraph" w:styleId="669">
    <w:name w:val="Body Text Indent"/>
    <w:basedOn w:val="661"/>
    <w:link w:val="670"/>
    <w:unhideWhenUsed/>
    <w:pPr>
      <w:pBdr/>
      <w:spacing/>
      <w:ind w:right="-19" w:firstLine="840"/>
      <w:jc w:val="both"/>
    </w:pPr>
    <w:rPr>
      <w:sz w:val="28"/>
      <w:szCs w:val="28"/>
      <w:lang w:val="uk-UA"/>
    </w:rPr>
  </w:style>
  <w:style w:type="character" w:styleId="670" w:customStyle="1">
    <w:name w:val="Основний текст з відступом Знак"/>
    <w:link w:val="669"/>
    <w:pPr>
      <w:pBdr/>
      <w:spacing/>
      <w:ind/>
    </w:pPr>
    <w:rPr>
      <w:sz w:val="28"/>
      <w:szCs w:val="28"/>
      <w:lang w:eastAsia="ru-RU"/>
    </w:rPr>
  </w:style>
  <w:style w:type="character" w:styleId="671">
    <w:name w:val="FollowedHyperlink"/>
    <w:unhideWhenUsed/>
    <w:pPr>
      <w:pBdr/>
      <w:spacing/>
      <w:ind/>
    </w:pPr>
    <w:rPr>
      <w:color w:val="800080"/>
      <w:u w:val="single"/>
    </w:rPr>
  </w:style>
  <w:style w:type="paragraph" w:styleId="672">
    <w:name w:val="Caption"/>
    <w:basedOn w:val="661"/>
    <w:next w:val="661"/>
    <w:semiHidden/>
    <w:unhideWhenUsed/>
    <w:qFormat/>
    <w:pPr>
      <w:pBdr/>
      <w:spacing/>
      <w:ind/>
      <w:jc w:val="center"/>
    </w:pPr>
    <w:rPr>
      <w:b/>
      <w:szCs w:val="20"/>
      <w:lang w:val="uk-UA"/>
    </w:rPr>
  </w:style>
  <w:style w:type="paragraph" w:styleId="673">
    <w:name w:val="E-mail Signature"/>
    <w:basedOn w:val="661"/>
    <w:link w:val="674"/>
    <w:unhideWhenUsed/>
    <w:pPr>
      <w:pBdr/>
      <w:spacing/>
      <w:ind/>
    </w:pPr>
    <w:rPr>
      <w:lang w:val="uk-UA"/>
    </w:rPr>
  </w:style>
  <w:style w:type="character" w:styleId="674" w:customStyle="1">
    <w:name w:val="Електронний підпис Знак"/>
    <w:link w:val="673"/>
    <w:pPr>
      <w:pBdr/>
      <w:spacing/>
      <w:ind/>
    </w:pPr>
    <w:rPr>
      <w:sz w:val="24"/>
      <w:szCs w:val="24"/>
      <w:lang w:eastAsia="ru-RU"/>
    </w:rPr>
  </w:style>
  <w:style w:type="paragraph" w:styleId="675">
    <w:name w:val="Balloon Text"/>
    <w:basedOn w:val="661"/>
    <w:link w:val="676"/>
    <w:pPr>
      <w:pBdr/>
      <w:spacing/>
      <w:ind/>
    </w:pPr>
    <w:rPr>
      <w:rFonts w:ascii="Segoe UI" w:hAnsi="Segoe UI" w:cs="Segoe UI"/>
      <w:sz w:val="18"/>
      <w:szCs w:val="18"/>
    </w:rPr>
  </w:style>
  <w:style w:type="character" w:styleId="676" w:customStyle="1">
    <w:name w:val="Текст у виносці Знак"/>
    <w:link w:val="675"/>
    <w:pPr>
      <w:pBdr/>
      <w:spacing/>
      <w:ind/>
    </w:pPr>
    <w:rPr>
      <w:rFonts w:ascii="Segoe UI" w:hAnsi="Segoe UI" w:cs="Segoe UI"/>
      <w:sz w:val="18"/>
      <w:szCs w:val="18"/>
      <w:lang w:val="ru-RU" w:eastAsia="ru-RU"/>
    </w:rPr>
  </w:style>
  <w:style w:type="paragraph" w:styleId="677">
    <w:name w:val="Normal (Web)"/>
    <w:basedOn w:val="661"/>
    <w:uiPriority w:val="99"/>
    <w:unhideWhenUsed/>
    <w:pPr>
      <w:pBdr/>
      <w:spacing w:after="100" w:afterAutospacing="1" w:before="100" w:beforeAutospacing="1"/>
      <w:ind/>
    </w:pPr>
    <w:rPr>
      <w:lang w:val="uk-UA" w:eastAsia="uk-UA"/>
    </w:rPr>
  </w:style>
  <w:style w:type="paragraph" w:styleId="678">
    <w:name w:val="HTML Preformatted"/>
    <w:basedOn w:val="661"/>
    <w:link w:val="679"/>
    <w:unhideWhenUsed/>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pPr>
    <w:rPr>
      <w:rFonts w:ascii="Courier New" w:hAnsi="Courier New" w:cs="Courier New"/>
      <w:sz w:val="20"/>
      <w:szCs w:val="20"/>
    </w:rPr>
  </w:style>
  <w:style w:type="character" w:styleId="679" w:customStyle="1">
    <w:name w:val="Стандартний HTML Знак"/>
    <w:basedOn w:val="663"/>
    <w:link w:val="678"/>
    <w:pPr>
      <w:pBdr/>
      <w:spacing/>
      <w:ind/>
    </w:pPr>
    <w:rPr>
      <w:rFonts w:ascii="Courier New" w:hAnsi="Courier New" w:cs="Courier New"/>
      <w:lang w:val="ru-RU" w:eastAsia="ru-RU"/>
    </w:rPr>
  </w:style>
  <w:style w:type="paragraph" w:styleId="680">
    <w:name w:val="List Paragraph"/>
    <w:basedOn w:val="661"/>
    <w:uiPriority w:val="34"/>
    <w:qFormat/>
    <w:pPr>
      <w:pBdr/>
      <w:spacing/>
      <w:ind w:left="720"/>
      <w:contextualSpacing w:val="true"/>
    </w:pPr>
    <w:rPr>
      <w:lang w:val="uk-UA" w:eastAsia="uk-UA"/>
    </w:rPr>
  </w:style>
  <w:style w:type="character" w:styleId="681" w:customStyle="1">
    <w:name w:val="Заголовок 2 Знак"/>
    <w:basedOn w:val="663"/>
    <w:link w:val="662"/>
    <w:uiPriority w:val="9"/>
    <w:pPr>
      <w:pBdr/>
      <w:spacing/>
      <w:ind/>
    </w:pPr>
    <w:rPr>
      <w:b/>
      <w:bCs/>
      <w:sz w:val="36"/>
      <w:szCs w:val="3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D75F-7FAB-4D11-B23E-B7B11BD3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ONLYOFFICE/8.0.0.99</Application>
  <Company>RePack by SPecialiST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Marina</dc:creator>
  <cp:keywords/>
  <dc:description/>
  <cp:revision>3</cp:revision>
  <dcterms:created xsi:type="dcterms:W3CDTF">2023-03-21T09:01:00Z</dcterms:created>
  <dcterms:modified xsi:type="dcterms:W3CDTF">2024-02-06T13:44:40Z</dcterms:modified>
</cp:coreProperties>
</file>