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CA70D6" w:rsidRDefault="0043409D" w:rsidP="00434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70D6" w:rsidRPr="00CA70D6">
        <w:rPr>
          <w:rFonts w:ascii="Times New Roman" w:eastAsia="Times New Roman" w:hAnsi="Times New Roman" w:cs="Times New Roman"/>
          <w:sz w:val="24"/>
          <w:szCs w:val="24"/>
        </w:rPr>
        <w:t>26</w:t>
      </w:r>
      <w:r w:rsidR="000770DC" w:rsidRPr="00CA70D6">
        <w:rPr>
          <w:rFonts w:ascii="Times New Roman" w:eastAsia="Times New Roman" w:hAnsi="Times New Roman" w:cs="Times New Roman"/>
          <w:sz w:val="24"/>
          <w:szCs w:val="24"/>
        </w:rPr>
        <w:t>.05.2023 № 2</w:t>
      </w:r>
      <w:r w:rsidR="00CA70D6" w:rsidRPr="00CA70D6">
        <w:rPr>
          <w:rFonts w:ascii="Times New Roman" w:eastAsia="Times New Roman" w:hAnsi="Times New Roman" w:cs="Times New Roman"/>
          <w:sz w:val="24"/>
          <w:szCs w:val="24"/>
        </w:rPr>
        <w:t>8</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EC2A83" w:rsidRPr="00E6084E" w:rsidRDefault="00EC2A83" w:rsidP="00EC2A83">
      <w:pPr>
        <w:pStyle w:val="--14"/>
        <w:tabs>
          <w:tab w:val="center" w:pos="5104"/>
          <w:tab w:val="left" w:pos="7095"/>
        </w:tabs>
        <w:rPr>
          <w:rFonts w:eastAsia="Calibri"/>
          <w:bCs/>
          <w:kern w:val="1"/>
        </w:rPr>
      </w:pPr>
      <w:r w:rsidRPr="00E6084E">
        <w:rPr>
          <w:rFonts w:eastAsia="Calibri"/>
          <w:bCs/>
          <w:kern w:val="1"/>
        </w:rPr>
        <w:t>«Капітальний ремонт системи пожежної сигналізації (облаштування системи протипожежного захисту) у будівлі КЗ «Нікопольська середня загальноосвітня школа І-ІІІ ступенів №</w:t>
      </w:r>
      <w:r w:rsidR="00E55D8C">
        <w:rPr>
          <w:rFonts w:eastAsia="Calibri"/>
          <w:bCs/>
          <w:kern w:val="1"/>
        </w:rPr>
        <w:t>20</w:t>
      </w:r>
      <w:r w:rsidRPr="00E6084E">
        <w:rPr>
          <w:rFonts w:eastAsia="Calibri"/>
          <w:bCs/>
          <w:kern w:val="1"/>
        </w:rPr>
        <w:t xml:space="preserve">» за адресою: вул. Шевченка, </w:t>
      </w:r>
      <w:r w:rsidR="00E55D8C">
        <w:rPr>
          <w:rFonts w:eastAsia="Calibri"/>
          <w:bCs/>
          <w:kern w:val="1"/>
        </w:rPr>
        <w:t>204</w:t>
      </w:r>
      <w:r w:rsidRPr="00E6084E">
        <w:rPr>
          <w:rFonts w:eastAsia="Calibri"/>
          <w:bCs/>
          <w:kern w:val="1"/>
        </w:rPr>
        <w:t xml:space="preserve"> в м. Нікополь Дніпропетровської області» </w:t>
      </w:r>
    </w:p>
    <w:p w:rsidR="00EC2A83" w:rsidRPr="00812E09" w:rsidRDefault="00EC2A83" w:rsidP="00EC2A83">
      <w:pPr>
        <w:pStyle w:val="--14"/>
        <w:tabs>
          <w:tab w:val="center" w:pos="5104"/>
          <w:tab w:val="left" w:pos="7095"/>
        </w:tabs>
        <w:rPr>
          <w:rFonts w:eastAsia="Calibri"/>
          <w:b w:val="0"/>
          <w:bCs/>
          <w:kern w:val="1"/>
        </w:rPr>
      </w:pPr>
      <w:r w:rsidRPr="00812E09">
        <w:rPr>
          <w:rFonts w:eastAsia="Calibri"/>
          <w:b w:val="0"/>
          <w:bCs/>
          <w:kern w:val="1"/>
        </w:rPr>
        <w:t>(45450000-6 «Інші завершальні будівельні роботи»)</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1722F5">
        <w:rPr>
          <w:rFonts w:ascii="Times New Roman" w:hAnsi="Times New Roman" w:cs="Times New Roman"/>
          <w:bCs/>
          <w:sz w:val="24"/>
          <w:szCs w:val="24"/>
        </w:rPr>
        <w:t>м.Нікополь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Василівна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55D8C" w:rsidRPr="00E6084E" w:rsidRDefault="00E55D8C" w:rsidP="00E55D8C">
            <w:pPr>
              <w:pStyle w:val="--14"/>
              <w:tabs>
                <w:tab w:val="center" w:pos="5104"/>
                <w:tab w:val="left" w:pos="7095"/>
              </w:tabs>
              <w:jc w:val="both"/>
              <w:rPr>
                <w:rFonts w:eastAsia="Calibri"/>
                <w:bCs/>
                <w:kern w:val="1"/>
              </w:rPr>
            </w:pPr>
            <w:r w:rsidRPr="00E55D8C">
              <w:rPr>
                <w:rFonts w:eastAsia="Calibri"/>
                <w:b w:val="0"/>
                <w:bCs/>
                <w:kern w:val="1"/>
              </w:rPr>
              <w:t>«</w:t>
            </w:r>
            <w:r w:rsidRPr="00E55D8C">
              <w:rPr>
                <w:rFonts w:eastAsia="Calibri"/>
                <w:b w:val="0"/>
                <w:bCs/>
                <w:kern w:val="1"/>
                <w:sz w:val="22"/>
                <w:szCs w:val="22"/>
              </w:rPr>
              <w:t xml:space="preserve">Капітальний ремонт системи пожежної сигналізації (облаштування системи протипожежного захисту) у будівлі КЗ «Нікопольська середня загальноосвітня школа І-ІІІ ступенів №20» за адресою: вул. Шевченка, 204 в м. Нікополь Дніпропетровської області» </w:t>
            </w:r>
          </w:p>
          <w:p w:rsidR="004A5EDD" w:rsidRPr="004A5EDD" w:rsidRDefault="004A5EDD" w:rsidP="004A5EDD">
            <w:pPr>
              <w:suppressAutoHyphens/>
              <w:jc w:val="both"/>
              <w:rPr>
                <w:rFonts w:ascii="Times New Roman" w:hAnsi="Times New Roman" w:cs="Times New Roman"/>
                <w:b/>
                <w:bCs/>
                <w:sz w:val="24"/>
                <w:szCs w:val="24"/>
              </w:rPr>
            </w:pPr>
            <w:r w:rsidRPr="004A5EDD">
              <w:rPr>
                <w:rFonts w:ascii="Times New Roman" w:hAnsi="Times New Roman" w:cs="Times New Roman"/>
                <w:sz w:val="24"/>
                <w:szCs w:val="24"/>
                <w:lang w:eastAsia="uk-UA"/>
              </w:rPr>
              <w:t>ДК 021:2015: 45450000-6 – Інші завершальні будівельні роботи</w:t>
            </w:r>
          </w:p>
          <w:p w:rsidR="007E4FE4" w:rsidRPr="00001AFB" w:rsidRDefault="007E4FE4">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lastRenderedPageBreak/>
              <w:t>(для робіт або послуг)</w:t>
            </w:r>
          </w:p>
        </w:tc>
        <w:tc>
          <w:tcPr>
            <w:tcW w:w="6420" w:type="dxa"/>
          </w:tcPr>
          <w:p w:rsidR="0043409D" w:rsidRPr="00EA6013" w:rsidRDefault="0043409D" w:rsidP="0043409D">
            <w:pPr>
              <w:widowControl w:val="0"/>
              <w:ind w:right="120"/>
              <w:jc w:val="both"/>
              <w:rPr>
                <w:rFonts w:ascii="Times New Roman" w:eastAsia="Times New Roman" w:hAnsi="Times New Roman" w:cs="Times New Roman"/>
                <w:color w:val="4A86E8"/>
                <w:sz w:val="24"/>
                <w:szCs w:val="24"/>
              </w:rPr>
            </w:pPr>
            <w:r w:rsidRPr="00EA6013">
              <w:rPr>
                <w:rFonts w:ascii="Times New Roman" w:eastAsia="Times New Roman" w:hAnsi="Times New Roman" w:cs="Times New Roman"/>
                <w:sz w:val="24"/>
                <w:szCs w:val="24"/>
              </w:rPr>
              <w:lastRenderedPageBreak/>
              <w:t xml:space="preserve">Обсяги: </w:t>
            </w:r>
            <w:r w:rsidR="004A5EDD">
              <w:rPr>
                <w:rFonts w:ascii="Times New Roman" w:eastAsia="Times New Roman" w:hAnsi="Times New Roman" w:cs="Times New Roman"/>
                <w:sz w:val="24"/>
                <w:szCs w:val="24"/>
              </w:rPr>
              <w:t>1</w:t>
            </w:r>
            <w:r w:rsidRPr="00EA6013">
              <w:rPr>
                <w:rFonts w:ascii="Times New Roman" w:eastAsia="Times New Roman" w:hAnsi="Times New Roman" w:cs="Times New Roman"/>
                <w:sz w:val="24"/>
                <w:szCs w:val="24"/>
              </w:rPr>
              <w:t xml:space="preserve"> </w:t>
            </w:r>
            <w:r w:rsidR="00E55D8C">
              <w:rPr>
                <w:rFonts w:ascii="Times New Roman" w:eastAsia="Times New Roman" w:hAnsi="Times New Roman" w:cs="Times New Roman"/>
                <w:sz w:val="24"/>
                <w:szCs w:val="24"/>
              </w:rPr>
              <w:t>робота</w:t>
            </w:r>
          </w:p>
          <w:p w:rsidR="0043409D" w:rsidRPr="00EA6013" w:rsidRDefault="0043409D" w:rsidP="0043409D">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 xml:space="preserve">Місце, де повинні бути </w:t>
            </w:r>
            <w:r w:rsidR="00E55D8C">
              <w:rPr>
                <w:rFonts w:ascii="Times New Roman" w:eastAsia="Times New Roman" w:hAnsi="Times New Roman" w:cs="Times New Roman"/>
                <w:color w:val="000000"/>
                <w:sz w:val="24"/>
                <w:szCs w:val="24"/>
              </w:rPr>
              <w:t>виконані роботи</w:t>
            </w:r>
            <w:r w:rsidRPr="00EA6013">
              <w:rPr>
                <w:rFonts w:ascii="Times New Roman" w:eastAsia="Times New Roman" w:hAnsi="Times New Roman" w:cs="Times New Roman"/>
                <w:sz w:val="24"/>
                <w:szCs w:val="24"/>
              </w:rPr>
              <w:t xml:space="preserve">: </w:t>
            </w:r>
          </w:p>
          <w:p w:rsidR="007E4FE4" w:rsidRPr="00E55D8C" w:rsidRDefault="0043409D" w:rsidP="00E55D8C">
            <w:pPr>
              <w:widowControl w:val="0"/>
              <w:ind w:right="120"/>
              <w:jc w:val="both"/>
              <w:rPr>
                <w:rFonts w:ascii="Times New Roman" w:eastAsia="Times New Roman" w:hAnsi="Times New Roman" w:cs="Times New Roman"/>
                <w:i/>
              </w:rPr>
            </w:pPr>
            <w:r w:rsidRPr="00E55D8C">
              <w:rPr>
                <w:rFonts w:ascii="Times New Roman" w:eastAsia="Times New Roman" w:hAnsi="Times New Roman" w:cs="Times New Roman"/>
                <w:i/>
              </w:rPr>
              <w:t>-</w:t>
            </w:r>
            <w:r w:rsidRPr="00E55D8C">
              <w:rPr>
                <w:rFonts w:ascii="Times New Roman" w:eastAsia="Times New Roman" w:hAnsi="Times New Roman" w:cs="Times New Roman"/>
              </w:rPr>
              <w:t xml:space="preserve"> </w:t>
            </w:r>
            <w:r w:rsidR="00E55D8C" w:rsidRPr="00E55D8C">
              <w:rPr>
                <w:rFonts w:ascii="Times New Roman" w:hAnsi="Times New Roman" w:cs="Times New Roman"/>
                <w:bCs/>
                <w:kern w:val="1"/>
              </w:rPr>
              <w:t>вул. Шевченка, 204 в м. Нікополь Дніпропетровської області</w:t>
            </w:r>
            <w:r w:rsidR="004A5EDD" w:rsidRPr="00E55D8C">
              <w:rPr>
                <w:rFonts w:ascii="Times New Roman" w:eastAsia="Times New Roman" w:hAnsi="Times New Roman" w:cs="Times New Roman"/>
                <w:i/>
              </w:rPr>
              <w:t>.</w:t>
            </w: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E55D8C">
            <w:pPr>
              <w:widowControl w:val="0"/>
              <w:rPr>
                <w:rFonts w:ascii="Times New Roman" w:eastAsia="Times New Roman" w:hAnsi="Times New Roman" w:cs="Times New Roman"/>
                <w:sz w:val="24"/>
                <w:szCs w:val="24"/>
                <w:highlight w:val="cyan"/>
              </w:rPr>
            </w:pPr>
            <w:r w:rsidRPr="005055FA">
              <w:rPr>
                <w:rFonts w:ascii="Times New Roman" w:eastAsia="Times New Roman" w:hAnsi="Times New Roman" w:cs="Times New Roman"/>
                <w:sz w:val="24"/>
                <w:szCs w:val="24"/>
              </w:rPr>
              <w:t xml:space="preserve">До </w:t>
            </w:r>
            <w:r w:rsidR="004A5EDD" w:rsidRPr="004A5EDD">
              <w:rPr>
                <w:rFonts w:ascii="Times New Roman" w:eastAsia="Times New Roman" w:hAnsi="Times New Roman" w:cs="Times New Roman"/>
                <w:sz w:val="24"/>
                <w:szCs w:val="24"/>
              </w:rPr>
              <w:t>3</w:t>
            </w:r>
            <w:r w:rsidR="00A82031">
              <w:rPr>
                <w:rFonts w:ascii="Times New Roman" w:eastAsia="Times New Roman" w:hAnsi="Times New Roman" w:cs="Times New Roman"/>
                <w:sz w:val="24"/>
                <w:szCs w:val="24"/>
              </w:rPr>
              <w:t>1</w:t>
            </w:r>
            <w:r w:rsidR="004A5EDD" w:rsidRPr="004A5EDD">
              <w:rPr>
                <w:rFonts w:ascii="Times New Roman" w:eastAsia="Times New Roman" w:hAnsi="Times New Roman" w:cs="Times New Roman"/>
                <w:sz w:val="24"/>
                <w:szCs w:val="24"/>
              </w:rPr>
              <w:t>.0</w:t>
            </w:r>
            <w:r w:rsidR="00E55D8C">
              <w:rPr>
                <w:rFonts w:ascii="Times New Roman" w:eastAsia="Times New Roman" w:hAnsi="Times New Roman" w:cs="Times New Roman"/>
                <w:sz w:val="24"/>
                <w:szCs w:val="24"/>
              </w:rPr>
              <w:t>8</w:t>
            </w:r>
            <w:r w:rsidR="004A5EDD" w:rsidRPr="004A5EDD">
              <w:rPr>
                <w:rFonts w:ascii="Times New Roman" w:eastAsia="Times New Roman" w:hAnsi="Times New Roman" w:cs="Times New Roman"/>
                <w:sz w:val="24"/>
                <w:szCs w:val="24"/>
              </w:rPr>
              <w:t>.2023</w:t>
            </w:r>
            <w:r w:rsidRPr="004A5EDD">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794C9E" w:rsidRDefault="00794C9E" w:rsidP="00794C9E">
            <w:pPr>
              <w:widowControl w:val="0"/>
              <w:jc w:val="both"/>
              <w:rPr>
                <w:rFonts w:ascii="Times New Roman" w:eastAsia="Times New Roman" w:hAnsi="Times New Roman" w:cs="Times New Roman"/>
                <w:sz w:val="24"/>
                <w:szCs w:val="24"/>
                <w:highlight w:val="white"/>
              </w:rPr>
            </w:pPr>
          </w:p>
          <w:p w:rsidR="00794C9E" w:rsidRDefault="00794C9E" w:rsidP="00794C9E">
            <w:pPr>
              <w:widowControl w:val="0"/>
              <w:numPr>
                <w:ilvl w:val="0"/>
                <w:numId w:val="7"/>
              </w:numPr>
              <w:jc w:val="both"/>
              <w:rPr>
                <w:rFonts w:ascii="Times New Roman" w:eastAsia="Times New Roman" w:hAnsi="Times New Roman" w:cs="Times New Roman"/>
                <w:sz w:val="24"/>
                <w:szCs w:val="24"/>
              </w:rPr>
            </w:pPr>
            <w:r w:rsidRPr="00355D61">
              <w:rPr>
                <w:rFonts w:ascii="Times New Roman" w:hAnsi="Times New Roman"/>
                <w:sz w:val="24"/>
                <w:szCs w:val="24"/>
              </w:rPr>
              <w:t xml:space="preserve">Документ “Тендерна пропозиція”, який складений і заповнений за формою, що наведена у </w:t>
            </w:r>
            <w:r w:rsidRPr="00355D61">
              <w:rPr>
                <w:rFonts w:ascii="Times New Roman" w:hAnsi="Times New Roman"/>
                <w:b/>
                <w:sz w:val="24"/>
                <w:szCs w:val="24"/>
              </w:rPr>
              <w:t xml:space="preserve">Додатку </w:t>
            </w:r>
            <w:r>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Pr>
                <w:rFonts w:ascii="Times New Roman" w:hAnsi="Times New Roman"/>
                <w:sz w:val="24"/>
                <w:szCs w:val="24"/>
              </w:rPr>
              <w:t>;</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94C9E" w:rsidRPr="00BB05EF" w:rsidRDefault="00794C9E" w:rsidP="00794C9E">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794C9E" w:rsidRPr="00971C53" w:rsidRDefault="00794C9E" w:rsidP="00794C9E">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(для закупівлі робіт або послуг)</w:t>
            </w:r>
            <w:r w:rsidRPr="00DB322D">
              <w:rPr>
                <w:rFonts w:ascii="Times New Roman" w:eastAsia="Times New Roman" w:hAnsi="Times New Roman" w:cs="Times New Roman"/>
                <w:sz w:val="24"/>
                <w:szCs w:val="24"/>
              </w:rPr>
              <w:t>;</w:t>
            </w:r>
          </w:p>
          <w:p w:rsidR="00794C9E" w:rsidRPr="00971C53" w:rsidRDefault="00794C9E" w:rsidP="00794C9E">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94C9E" w:rsidRPr="00BB05EF" w:rsidRDefault="00794C9E" w:rsidP="00794C9E">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Pr="00BB05EF">
              <w:rPr>
                <w:rFonts w:ascii="Times New Roman" w:eastAsia="Times New Roman" w:hAnsi="Times New Roman" w:cs="Times New Roman"/>
                <w:b/>
                <w:i/>
                <w:sz w:val="24"/>
                <w:szCs w:val="24"/>
              </w:rPr>
              <w:t>Додаток</w:t>
            </w:r>
            <w:r w:rsidRPr="00BB05EF">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794C9E" w:rsidRPr="000C5F86" w:rsidRDefault="00794C9E" w:rsidP="00794C9E">
            <w:pPr>
              <w:pStyle w:val="a6"/>
              <w:widowControl w:val="0"/>
              <w:numPr>
                <w:ilvl w:val="0"/>
                <w:numId w:val="5"/>
              </w:numPr>
              <w:jc w:val="both"/>
              <w:rPr>
                <w:rStyle w:val="rvts0"/>
                <w:rFonts w:ascii="Times New Roman" w:hAnsi="Times New Roman"/>
                <w:spacing w:val="-2"/>
                <w:sz w:val="24"/>
                <w:szCs w:val="24"/>
              </w:rPr>
            </w:pPr>
            <w:r w:rsidRPr="000C5F86">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94C9E" w:rsidRPr="0077061F" w:rsidRDefault="00794C9E" w:rsidP="00794C9E">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794C9E" w:rsidRPr="0077061F" w:rsidRDefault="00794C9E" w:rsidP="00794C9E">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794C9E" w:rsidRPr="0077061F" w:rsidRDefault="00794C9E" w:rsidP="00794C9E">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94C9E" w:rsidRPr="00C50100" w:rsidRDefault="00794C9E" w:rsidP="00794C9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C50100">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794C9E" w:rsidRPr="0043409D" w:rsidRDefault="00794C9E" w:rsidP="00794C9E">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4C9E" w:rsidRDefault="00794C9E" w:rsidP="00794C9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4C9E" w:rsidRDefault="00794C9E" w:rsidP="00794C9E">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794C9E" w:rsidRPr="00E2254D" w:rsidRDefault="00794C9E" w:rsidP="00794C9E">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94C9E" w:rsidRPr="00E2254D" w:rsidRDefault="00794C9E" w:rsidP="00794C9E">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94C9E" w:rsidRPr="004B3009" w:rsidRDefault="00794C9E" w:rsidP="00794C9E">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94C9E" w:rsidRDefault="00794C9E" w:rsidP="00794C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Pr="00445789" w:rsidRDefault="00794C9E" w:rsidP="00794C9E">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794C9E" w:rsidRDefault="00794C9E" w:rsidP="00794C9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94C9E" w:rsidRPr="00CE35FA"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rPr>
              <w:t xml:space="preserve"> в цілому</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rPr>
              <w:t>;</w:t>
            </w:r>
          </w:p>
          <w:p w:rsidR="00794C9E" w:rsidRPr="0082646B"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94C9E" w:rsidRPr="0082646B" w:rsidRDefault="00794C9E" w:rsidP="00794C9E">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якщо тендерна пропозиція містить і скановані, і електронні документи, </w:t>
            </w:r>
            <w:r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Виняток:</w:t>
            </w:r>
          </w:p>
          <w:p w:rsidR="00794C9E" w:rsidRPr="0082646B" w:rsidRDefault="00794C9E" w:rsidP="00794C9E">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94C9E" w:rsidRPr="0082646B" w:rsidRDefault="00794C9E" w:rsidP="00794C9E">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4C9E" w:rsidRPr="00CE35FA" w:rsidRDefault="00794C9E" w:rsidP="00794C9E">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rFonts w:ascii="Times New Roman" w:eastAsia="Times New Roman" w:hAnsi="Times New Roman"/>
                <w:b/>
                <w:spacing w:val="-2"/>
                <w:sz w:val="24"/>
                <w:szCs w:val="24"/>
                <w:u w:val="single"/>
              </w:rPr>
              <w:t>,</w:t>
            </w:r>
            <w:r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rFonts w:ascii="Times New Roman" w:eastAsia="Times New Roman" w:hAnsi="Times New Roman"/>
                <w:b/>
                <w:spacing w:val="-2"/>
                <w:sz w:val="24"/>
                <w:szCs w:val="24"/>
              </w:rPr>
              <w:t>я</w:t>
            </w:r>
            <w:r w:rsidRPr="00CE35FA">
              <w:rPr>
                <w:rFonts w:ascii="Times New Roman" w:eastAsia="Times New Roman" w:hAnsi="Times New Roman"/>
                <w:b/>
                <w:spacing w:val="-2"/>
                <w:sz w:val="24"/>
                <w:szCs w:val="24"/>
              </w:rPr>
              <w:t xml:space="preserve"> буде </w:t>
            </w:r>
            <w:r w:rsidRPr="00812091">
              <w:rPr>
                <w:rFonts w:ascii="Times New Roman" w:eastAsia="Times New Roman" w:hAnsi="Times New Roman"/>
                <w:b/>
                <w:spacing w:val="-2"/>
                <w:sz w:val="24"/>
                <w:szCs w:val="24"/>
              </w:rPr>
              <w:t xml:space="preserve">відхилена на </w:t>
            </w:r>
            <w:r w:rsidRPr="00AA658E">
              <w:rPr>
                <w:rFonts w:ascii="Times New Roman" w:eastAsia="Times New Roman" w:hAnsi="Times New Roman"/>
                <w:b/>
                <w:spacing w:val="-2"/>
                <w:sz w:val="24"/>
                <w:szCs w:val="24"/>
              </w:rPr>
              <w:t>підставі підпункту 2 пункту 4</w:t>
            </w:r>
            <w:r>
              <w:rPr>
                <w:rFonts w:ascii="Times New Roman" w:eastAsia="Times New Roman" w:hAnsi="Times New Roman"/>
                <w:b/>
                <w:spacing w:val="-2"/>
                <w:sz w:val="24"/>
                <w:szCs w:val="24"/>
              </w:rPr>
              <w:t>4</w:t>
            </w:r>
            <w:r w:rsidRPr="00AA658E">
              <w:rPr>
                <w:rFonts w:ascii="Times New Roman" w:eastAsia="Times New Roman" w:hAnsi="Times New Roman"/>
                <w:b/>
                <w:spacing w:val="-2"/>
                <w:sz w:val="24"/>
                <w:szCs w:val="24"/>
              </w:rPr>
              <w:t xml:space="preserve"> Особливостей</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rPr>
              <w:t>.</w:t>
            </w:r>
          </w:p>
          <w:p w:rsidR="00794C9E" w:rsidRDefault="00794C9E" w:rsidP="00794C9E">
            <w:pPr>
              <w:widowControl w:val="0"/>
              <w:ind w:left="40" w:hanging="20"/>
              <w:jc w:val="both"/>
              <w:rPr>
                <w:rFonts w:ascii="Times New Roman" w:eastAsia="Times New Roman" w:hAnsi="Times New Roman" w:cs="Times New Roman"/>
                <w:b/>
                <w:color w:val="000000"/>
                <w:sz w:val="24"/>
                <w:szCs w:val="24"/>
              </w:rPr>
            </w:pPr>
          </w:p>
          <w:p w:rsidR="00794C9E" w:rsidRDefault="00794C9E" w:rsidP="00794C9E">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10FBA">
              <w:rPr>
                <w:rFonts w:ascii="Times New Roman" w:hAnsi="Times New Roman"/>
                <w:b/>
                <w:spacing w:val="-2"/>
                <w:sz w:val="24"/>
                <w:szCs w:val="24"/>
              </w:rPr>
              <w:t xml:space="preserve"> </w:t>
            </w:r>
            <w:r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794C9E" w:rsidRPr="00157F2F"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94C9E" w:rsidRPr="00E35A67"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eastAsia="Times New Roman" w:hAnsi="Times New Roman" w:cs="Times New Roman"/>
                <w:color w:val="0D0D0D"/>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4C9E" w:rsidRDefault="00794C9E" w:rsidP="00794C9E">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61EE4">
              <w:rPr>
                <w:rFonts w:ascii="Times New Roman" w:hAnsi="Times New Roman"/>
                <w:i/>
                <w:sz w:val="24"/>
                <w:szCs w:val="24"/>
              </w:rPr>
              <w:t>(у разі здійснення закупівлі за лотами)</w:t>
            </w:r>
            <w:r>
              <w:rPr>
                <w:rFonts w:ascii="Times New Roman" w:hAnsi="Times New Roman"/>
                <w:sz w:val="24"/>
                <w:szCs w:val="24"/>
              </w:rPr>
              <w:t>.</w:t>
            </w:r>
          </w:p>
          <w:p w:rsidR="00794C9E" w:rsidRPr="00C22C62" w:rsidRDefault="00794C9E" w:rsidP="00794C9E">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94C9E" w:rsidRDefault="00794C9E" w:rsidP="00794C9E">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794C9E" w:rsidRDefault="00794C9E" w:rsidP="00794C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4C9E" w:rsidRPr="001B6856" w:rsidRDefault="00794C9E" w:rsidP="00794C9E">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Pr="001B6856">
              <w:rPr>
                <w:rFonts w:ascii="Times New Roman" w:eastAsia="Times New Roman" w:hAnsi="Times New Roman"/>
                <w:color w:val="000000"/>
                <w:sz w:val="24"/>
                <w:szCs w:val="24"/>
              </w:rPr>
              <w:t>документ, який складається за формою не міст</w:t>
            </w:r>
            <w:r>
              <w:rPr>
                <w:rFonts w:ascii="Times New Roman" w:eastAsia="Times New Roman" w:hAnsi="Times New Roman"/>
                <w:color w:val="000000"/>
                <w:sz w:val="24"/>
                <w:szCs w:val="24"/>
              </w:rPr>
              <w:t>и</w:t>
            </w:r>
            <w:r w:rsidRPr="001B6856">
              <w:rPr>
                <w:rFonts w:ascii="Times New Roman" w:eastAsia="Times New Roman" w:hAnsi="Times New Roman"/>
                <w:color w:val="000000"/>
                <w:sz w:val="24"/>
                <w:szCs w:val="24"/>
              </w:rPr>
              <w:t xml:space="preserve">ть виразу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Датовано: “__” _______ 20__ р.</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проте в документі зазначена відповідна дата його складання</w:t>
            </w:r>
            <w:r w:rsidRPr="00BA385D">
              <w:rPr>
                <w:rFonts w:ascii="Times New Roman" w:eastAsia="Times New Roman" w:hAnsi="Times New Roman"/>
                <w:color w:val="000000"/>
                <w:sz w:val="24"/>
                <w:szCs w:val="24"/>
              </w:rPr>
              <w:t>(наприклад: 10.10.2021)</w:t>
            </w:r>
            <w:r>
              <w:rPr>
                <w:rFonts w:ascii="Times New Roman" w:eastAsia="Times New Roman" w:hAnsi="Times New Roman"/>
                <w:color w:val="000000"/>
                <w:sz w:val="24"/>
                <w:szCs w:val="24"/>
              </w:rPr>
              <w:t>;</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794C9E" w:rsidRPr="00251372" w:rsidRDefault="00794C9E" w:rsidP="00794C9E">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highlight w:val="yellow"/>
              </w:rPr>
            </w:pPr>
            <w:r w:rsidRPr="00D7714E">
              <w:rPr>
                <w:rFonts w:ascii="Times New Roman" w:eastAsia="Times New Roman" w:hAnsi="Times New Roman" w:cs="Times New Roman"/>
                <w:sz w:val="24"/>
                <w:szCs w:val="24"/>
              </w:rPr>
              <w:t>Забезпечення тендерної пропозиції 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E4FE4" w:rsidRPr="00D7714E" w:rsidRDefault="007B78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Не передбачається.</w:t>
            </w:r>
          </w:p>
          <w:p w:rsidR="007E4FE4" w:rsidRDefault="007E4FE4">
            <w:pPr>
              <w:widowControl w:val="0"/>
              <w:shd w:val="clear" w:color="auto" w:fill="FFFFFF"/>
              <w:ind w:right="120"/>
              <w:jc w:val="both"/>
              <w:rPr>
                <w:rFonts w:ascii="Times New Roman" w:eastAsia="Times New Roman" w:hAnsi="Times New Roman" w:cs="Times New Roman"/>
                <w:sz w:val="24"/>
                <w:szCs w:val="24"/>
                <w:highlight w:val="yellow"/>
              </w:rPr>
            </w:pPr>
          </w:p>
          <w:p w:rsidR="007E4FE4" w:rsidRDefault="007E4FE4">
            <w:pPr>
              <w:widowControl w:val="0"/>
              <w:jc w:val="both"/>
              <w:rPr>
                <w:rFonts w:ascii="Times New Roman" w:eastAsia="Times New Roman" w:hAnsi="Times New Roman" w:cs="Times New Roman"/>
                <w:sz w:val="24"/>
                <w:szCs w:val="24"/>
                <w:highlight w:val="yellow"/>
              </w:rPr>
            </w:pP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відхилити таку вимогу, не втрачаючи при цьому наданого </w:t>
            </w:r>
            <w:r w:rsidRPr="00DE6A01">
              <w:rPr>
                <w:rFonts w:ascii="Times New Roman" w:eastAsia="Times New Roman" w:hAnsi="Times New Roman" w:cs="Times New Roman"/>
                <w:sz w:val="24"/>
                <w:szCs w:val="24"/>
              </w:rPr>
              <w:lastRenderedPageBreak/>
              <w:t>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rsidP="00794C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794C9E">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94C9E" w:rsidRPr="00D7714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D7714E">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D7714E">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94C9E" w:rsidP="00794C9E">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7207A6">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621572">
              <w:rPr>
                <w:rFonts w:ascii="Times New Roman" w:hAnsi="Times New Roman"/>
                <w:sz w:val="24"/>
                <w:szCs w:val="24"/>
              </w:rPr>
              <w:lastRenderedPageBreak/>
              <w:t>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E62E4A" w:rsidRDefault="007B78E4" w:rsidP="00EE0644">
            <w:pPr>
              <w:widowControl w:val="0"/>
              <w:ind w:left="40" w:right="120"/>
              <w:jc w:val="both"/>
              <w:rPr>
                <w:rFonts w:ascii="Times New Roman" w:eastAsia="Times New Roman" w:hAnsi="Times New Roman" w:cs="Times New Roman"/>
                <w:sz w:val="24"/>
                <w:szCs w:val="24"/>
              </w:rPr>
            </w:pPr>
            <w:r w:rsidRPr="00E62E4A">
              <w:rPr>
                <w:rFonts w:ascii="Times New Roman" w:eastAsia="Times New Roman" w:hAnsi="Times New Roman" w:cs="Times New Roman"/>
                <w:color w:val="000000"/>
                <w:sz w:val="24"/>
                <w:szCs w:val="24"/>
              </w:rPr>
              <w:t xml:space="preserve">Кінцевий строк подання тендерних пропозицій </w:t>
            </w:r>
            <w:r w:rsidRPr="00E62E4A">
              <w:rPr>
                <w:rFonts w:ascii="Times New Roman" w:eastAsia="Times New Roman" w:hAnsi="Times New Roman" w:cs="Times New Roman"/>
                <w:sz w:val="24"/>
                <w:szCs w:val="24"/>
              </w:rPr>
              <w:t>—</w:t>
            </w:r>
            <w:r w:rsidRPr="00E62E4A">
              <w:rPr>
                <w:rFonts w:ascii="Times New Roman" w:eastAsia="Times New Roman" w:hAnsi="Times New Roman" w:cs="Times New Roman"/>
                <w:color w:val="000000"/>
                <w:sz w:val="24"/>
                <w:szCs w:val="24"/>
              </w:rPr>
              <w:t xml:space="preserve"> </w:t>
            </w:r>
            <w:r w:rsidR="007207A6">
              <w:rPr>
                <w:rFonts w:ascii="Times New Roman" w:eastAsia="Times New Roman" w:hAnsi="Times New Roman" w:cs="Times New Roman"/>
                <w:color w:val="000000"/>
                <w:sz w:val="24"/>
                <w:szCs w:val="24"/>
              </w:rPr>
              <w:t>20</w:t>
            </w:r>
            <w:r w:rsidR="007207A6" w:rsidRPr="00E62E4A">
              <w:rPr>
                <w:rFonts w:ascii="Times New Roman" w:eastAsia="Times New Roman" w:hAnsi="Times New Roman" w:cs="Times New Roman"/>
                <w:color w:val="000000"/>
                <w:sz w:val="24"/>
                <w:szCs w:val="24"/>
              </w:rPr>
              <w:t>.06.2023 року до 00:00</w:t>
            </w:r>
            <w:r w:rsidR="001722F5" w:rsidRPr="00E62E4A">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794C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794C9E">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94C9E">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4C9E" w:rsidRDefault="00794C9E" w:rsidP="00794C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 43 Особливостей</w:t>
            </w:r>
          </w:p>
          <w:p w:rsidR="00794C9E" w:rsidRPr="00914A9C" w:rsidRDefault="00794C9E" w:rsidP="00794C9E">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4C9E" w:rsidRPr="00EE0644"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w:t>
            </w:r>
            <w:r w:rsidRPr="00EE0644">
              <w:rPr>
                <w:rFonts w:ascii="Times New Roman" w:eastAsia="Times New Roman" w:hAnsi="Times New Roman" w:cs="Times New Roman"/>
                <w:sz w:val="24"/>
                <w:szCs w:val="24"/>
              </w:rPr>
              <w:lastRenderedPageBreak/>
              <w:t>пропозицію, ціна/приведена ціна якої є найнижчою.</w:t>
            </w:r>
          </w:p>
          <w:p w:rsidR="00794C9E" w:rsidRPr="003B503C"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94C9E" w:rsidRDefault="00794C9E" w:rsidP="00794C9E">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C9E" w:rsidRPr="003B503C" w:rsidRDefault="00794C9E" w:rsidP="00794C9E">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794C9E" w:rsidRPr="00411169" w:rsidRDefault="00794C9E" w:rsidP="00794C9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94C9E" w:rsidRDefault="00794C9E" w:rsidP="00794C9E">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Pr>
                <w:rFonts w:ascii="Times New Roman" w:eastAsia="Times New Roman" w:hAnsi="Times New Roman" w:cs="Times New Roman"/>
                <w:sz w:val="24"/>
                <w:szCs w:val="24"/>
              </w:rPr>
              <w:t xml:space="preserve"> вцілому, а у 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ціни на 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w:t>
            </w:r>
            <w:r>
              <w:rPr>
                <w:rFonts w:ascii="Times New Roman" w:eastAsia="Times New Roman" w:hAnsi="Times New Roman" w:cs="Times New Roman"/>
                <w:color w:val="000000"/>
                <w:sz w:val="24"/>
                <w:szCs w:val="24"/>
              </w:rPr>
              <w:lastRenderedPageBreak/>
              <w:t>списку пропозицій, що розташовані за результатами їх оцінки, починаючи з найкращої, у порядку та строки, визначені Особливостями.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4C9E" w:rsidRPr="006C5549" w:rsidRDefault="00794C9E" w:rsidP="00794C9E">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6C5549">
              <w:rPr>
                <w:rFonts w:ascii="Times New Roman" w:eastAsia="Times New Roman" w:hAnsi="Times New Roman" w:cs="Times New Roman"/>
                <w:sz w:val="24"/>
                <w:szCs w:val="24"/>
              </w:rPr>
              <w:lastRenderedPageBreak/>
              <w:t>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E2E2A">
              <w:rPr>
                <w:rFonts w:ascii="Times New Roman" w:eastAsia="Times New Roman" w:hAnsi="Times New Roman" w:cs="Times New Roman"/>
                <w:sz w:val="24"/>
                <w:szCs w:val="24"/>
              </w:rPr>
              <w:t>го учасника процедури закупівлі</w:t>
            </w:r>
            <w:r w:rsidRPr="006C5549">
              <w:rPr>
                <w:rFonts w:ascii="Times New Roman" w:eastAsia="Times New Roman" w:hAnsi="Times New Roman" w:cs="Times New Roman"/>
                <w:sz w:val="24"/>
                <w:szCs w:val="24"/>
              </w:rPr>
              <w:t>.</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4C9E" w:rsidRDefault="00794C9E" w:rsidP="00794C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пропозиції </w:t>
            </w:r>
            <w:r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94C9E" w:rsidRPr="004378D4" w:rsidRDefault="00794C9E" w:rsidP="00794C9E">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Pr="00513AA2">
              <w:rPr>
                <w:rFonts w:ascii="Times New Roman" w:hAnsi="Times New Roman"/>
                <w:color w:val="000000"/>
                <w:sz w:val="28"/>
                <w:szCs w:val="28"/>
                <w:lang w:eastAsia="en-US"/>
              </w:rPr>
              <w:t>з</w:t>
            </w:r>
            <w:r w:rsidRPr="004378D4">
              <w:rPr>
                <w:rFonts w:ascii="Times New Roman" w:hAnsi="Times New Roman"/>
                <w:color w:val="000000"/>
                <w:sz w:val="24"/>
                <w:szCs w:val="24"/>
                <w:lang w:eastAsia="en-US"/>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E4FE4">
            <w:pPr>
              <w:widowControl w:val="0"/>
              <w:jc w:val="both"/>
              <w:rPr>
                <w:rFonts w:ascii="Times New Roman" w:eastAsia="Times New Roman" w:hAnsi="Times New Roman" w:cs="Times New Roman"/>
                <w:i/>
                <w:sz w:val="20"/>
                <w:szCs w:val="20"/>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2E2A" w:rsidRDefault="005E2E2A" w:rsidP="005E2E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E2E2A" w:rsidRDefault="005E2E2A" w:rsidP="005E2E2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olor w:val="000000"/>
                <w:sz w:val="24"/>
                <w:szCs w:val="24"/>
                <w:lang w:eastAsia="en-US"/>
              </w:rPr>
              <w:t>підпадає під підстави, встановлені пунктом 47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w:t>
            </w:r>
            <w:r w:rsidRPr="00235B07">
              <w:rPr>
                <w:rFonts w:ascii="Times New Roman" w:hAnsi="Times New Roman"/>
                <w:color w:val="000000"/>
                <w:sz w:val="24"/>
                <w:szCs w:val="24"/>
                <w:highlight w:val="white"/>
                <w:lang w:eastAsia="en-US"/>
              </w:rPr>
              <w:lastRenderedPageBreak/>
              <w:t xml:space="preserve">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E2A" w:rsidRPr="00235B07"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s="Times New Roman"/>
                <w:color w:val="000000"/>
                <w:sz w:val="24"/>
                <w:szCs w:val="24"/>
                <w:lang w:eastAsia="en-US"/>
              </w:rPr>
              <w:t xml:space="preserve">не відповідає умовам технічної специфікації та </w:t>
            </w:r>
            <w:r w:rsidRPr="00235B07">
              <w:rPr>
                <w:rFonts w:ascii="Times New Roman" w:hAnsi="Times New Roman" w:cs="Times New Roman"/>
                <w:color w:val="000000"/>
                <w:sz w:val="24"/>
                <w:szCs w:val="24"/>
                <w:lang w:eastAsia="en-US"/>
              </w:rPr>
              <w:lastRenderedPageBreak/>
              <w:t xml:space="preserve">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235B07">
                <w:rPr>
                  <w:rStyle w:val="a7"/>
                  <w:rFonts w:ascii="Times New Roman" w:hAnsi="Times New Roman" w:cs="Times New Roman"/>
                  <w:color w:val="000000"/>
                  <w:sz w:val="24"/>
                  <w:szCs w:val="24"/>
                  <w:lang w:eastAsia="en-US"/>
                </w:rPr>
                <w:t xml:space="preserve">пункту </w:t>
              </w:r>
            </w:hyperlink>
            <w:hyperlink r:id="rId11" w:anchor="n131" w:history="1">
              <w:r w:rsidRPr="00235B07">
                <w:rPr>
                  <w:rStyle w:val="a7"/>
                  <w:rFonts w:ascii="Times New Roman" w:hAnsi="Times New Roman" w:cs="Times New Roman"/>
                  <w:color w:val="000000"/>
                  <w:sz w:val="24"/>
                  <w:szCs w:val="24"/>
                  <w:lang w:eastAsia="en-US"/>
                </w:rPr>
                <w:t>4</w:t>
              </w:r>
            </w:hyperlink>
            <w:r w:rsidRPr="00235B07">
              <w:rPr>
                <w:rFonts w:ascii="Times New Roman" w:hAnsi="Times New Roman" w:cs="Times New Roman"/>
                <w:color w:val="000000"/>
                <w:sz w:val="24"/>
                <w:szCs w:val="24"/>
                <w:lang w:eastAsia="en-US"/>
              </w:rPr>
              <w:t>3 цих особливостей;</w:t>
            </w:r>
          </w:p>
          <w:p w:rsidR="005E2E2A" w:rsidRPr="00235B07" w:rsidRDefault="005E2E2A" w:rsidP="005E2E2A">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2A"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w:t>
            </w:r>
            <w:r w:rsidR="005E2E2A">
              <w:rPr>
                <w:rFonts w:ascii="Times New Roman" w:eastAsia="Times New Roman" w:hAnsi="Times New Roman" w:cs="Times New Roman"/>
                <w:sz w:val="24"/>
                <w:szCs w:val="24"/>
              </w:rPr>
              <w:t>лення всіх тендерних пропозицій</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2E2A" w:rsidRDefault="005E2E2A" w:rsidP="005E2E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E2E2A" w:rsidRDefault="005E2E2A" w:rsidP="005E2E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E2E2A" w:rsidRPr="00842ACC" w:rsidRDefault="005E2E2A" w:rsidP="005E2E2A">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E2E2A" w:rsidRPr="00842ACC" w:rsidRDefault="005E2E2A"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Pr>
                <w:rFonts w:ascii="Times New Roman" w:eastAsia="Times New Roman" w:hAnsi="Times New Roman" w:cs="Times New Roman"/>
                <w:color w:val="000000"/>
                <w:sz w:val="24"/>
                <w:szCs w:val="24"/>
              </w:rPr>
              <w:t>.</w:t>
            </w:r>
          </w:p>
          <w:p w:rsidR="007E4FE4" w:rsidRDefault="005E2E2A" w:rsidP="005E2E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sidRPr="005E17C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466892">
              <w:rPr>
                <w:rFonts w:ascii="Times New Roman" w:eastAsia="Times New Roman" w:hAnsi="Times New Roman" w:cs="Times New Roman"/>
                <w:sz w:val="24"/>
                <w:szCs w:val="24"/>
              </w:rPr>
              <w:lastRenderedPageBreak/>
              <w:t>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F85664" w:rsidRPr="00F8566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47162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471621">
        <w:rPr>
          <w:rFonts w:ascii="Times New Roman" w:hAnsi="Times New Roman"/>
          <w:b/>
          <w:bCs/>
          <w:color w:val="000000"/>
          <w:sz w:val="24"/>
          <w:szCs w:val="24"/>
          <w:lang w:eastAsia="uk-UA"/>
        </w:rPr>
        <w:t>ТЕНДЕРН</w:t>
      </w:r>
      <w:r>
        <w:rPr>
          <w:rFonts w:ascii="Times New Roman" w:hAnsi="Times New Roman"/>
          <w:b/>
          <w:bCs/>
          <w:color w:val="000000"/>
          <w:sz w:val="24"/>
          <w:szCs w:val="24"/>
          <w:lang w:eastAsia="uk-UA"/>
        </w:rPr>
        <w:t>А</w:t>
      </w:r>
      <w:r w:rsidRPr="00471621">
        <w:rPr>
          <w:rFonts w:ascii="Times New Roman" w:hAnsi="Times New Roman"/>
          <w:b/>
          <w:bCs/>
          <w:color w:val="000000"/>
          <w:sz w:val="24"/>
          <w:szCs w:val="24"/>
          <w:lang w:eastAsia="uk-UA"/>
        </w:rPr>
        <w:t xml:space="preserve">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2450D6">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2450D6">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2450D6">
        <w:trPr>
          <w:trHeight w:val="283"/>
        </w:trPr>
        <w:tc>
          <w:tcPr>
            <w:tcW w:w="6638" w:type="dxa"/>
            <w:shd w:val="clear" w:color="auto" w:fill="auto"/>
            <w:vAlign w:val="center"/>
          </w:tcPr>
          <w:p w:rsidR="000C5F86" w:rsidRPr="00471621" w:rsidRDefault="000C5F86" w:rsidP="002450D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2450D6">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2450D6">
        <w:trPr>
          <w:trHeight w:val="283"/>
        </w:trPr>
        <w:tc>
          <w:tcPr>
            <w:tcW w:w="6638" w:type="dxa"/>
            <w:shd w:val="clear" w:color="auto" w:fill="auto"/>
            <w:vAlign w:val="center"/>
          </w:tcPr>
          <w:p w:rsidR="000C5F86" w:rsidRPr="00471621" w:rsidRDefault="000C5F86" w:rsidP="002450D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2450D6">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2450D6">
        <w:trPr>
          <w:trHeight w:val="283"/>
        </w:trPr>
        <w:tc>
          <w:tcPr>
            <w:tcW w:w="6638" w:type="dxa"/>
            <w:shd w:val="clear" w:color="auto" w:fill="auto"/>
            <w:vAlign w:val="center"/>
          </w:tcPr>
          <w:p w:rsidR="000C5F86" w:rsidRPr="00471621" w:rsidRDefault="000C5F86" w:rsidP="002450D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2450D6">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2450D6">
        <w:trPr>
          <w:trHeight w:val="283"/>
        </w:trPr>
        <w:tc>
          <w:tcPr>
            <w:tcW w:w="6638" w:type="dxa"/>
            <w:shd w:val="clear" w:color="auto" w:fill="auto"/>
            <w:vAlign w:val="center"/>
          </w:tcPr>
          <w:p w:rsidR="000C5F86" w:rsidRPr="00471621" w:rsidRDefault="000C5F86" w:rsidP="002450D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2450D6">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2450D6">
        <w:trPr>
          <w:trHeight w:val="283"/>
        </w:trPr>
        <w:tc>
          <w:tcPr>
            <w:tcW w:w="6638" w:type="dxa"/>
            <w:shd w:val="clear" w:color="auto" w:fill="auto"/>
            <w:vAlign w:val="center"/>
          </w:tcPr>
          <w:p w:rsidR="000C5F86" w:rsidRPr="00471621" w:rsidRDefault="000C5F86" w:rsidP="002450D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2450D6">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2450D6">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2450D6">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2450D6">
        <w:trPr>
          <w:trHeight w:val="283"/>
        </w:trPr>
        <w:tc>
          <w:tcPr>
            <w:tcW w:w="6638" w:type="dxa"/>
            <w:shd w:val="clear" w:color="auto" w:fill="auto"/>
            <w:vAlign w:val="center"/>
          </w:tcPr>
          <w:p w:rsidR="000C5F86" w:rsidRPr="00471621" w:rsidRDefault="000C5F86" w:rsidP="002450D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2450D6">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2450D6">
        <w:trPr>
          <w:trHeight w:val="283"/>
        </w:trPr>
        <w:tc>
          <w:tcPr>
            <w:tcW w:w="6638" w:type="dxa"/>
            <w:shd w:val="clear" w:color="auto" w:fill="auto"/>
          </w:tcPr>
          <w:p w:rsidR="000C5F86" w:rsidRPr="00471621" w:rsidRDefault="000C5F86" w:rsidP="002450D6">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2450D6">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0C5F86" w:rsidRPr="00E55D8C" w:rsidRDefault="000C5F86" w:rsidP="00E55D8C">
      <w:pPr>
        <w:pStyle w:val="--14"/>
        <w:tabs>
          <w:tab w:val="center" w:pos="5104"/>
          <w:tab w:val="left" w:pos="7095"/>
        </w:tabs>
        <w:jc w:val="both"/>
        <w:rPr>
          <w:rFonts w:eastAsia="Calibri"/>
          <w:b w:val="0"/>
          <w:bCs/>
          <w:kern w:val="1"/>
          <w:sz w:val="22"/>
          <w:szCs w:val="22"/>
        </w:rPr>
      </w:pPr>
      <w:r w:rsidRPr="00E55D8C">
        <w:rPr>
          <w:b w:val="0"/>
          <w:iCs/>
          <w:color w:val="000000"/>
          <w:sz w:val="22"/>
          <w:szCs w:val="22"/>
          <w:lang w:eastAsia="uk-UA"/>
        </w:rPr>
        <w:t>Вивчивши тендерну документацію на закупівлю</w:t>
      </w:r>
      <w:r w:rsidR="00E55D8C" w:rsidRPr="00E55D8C">
        <w:rPr>
          <w:b w:val="0"/>
          <w:iCs/>
          <w:color w:val="000000"/>
          <w:sz w:val="22"/>
          <w:szCs w:val="22"/>
          <w:lang w:eastAsia="uk-UA"/>
        </w:rPr>
        <w:t>:</w:t>
      </w:r>
      <w:r w:rsidRPr="00E55D8C">
        <w:rPr>
          <w:b w:val="0"/>
          <w:iCs/>
          <w:color w:val="000000"/>
          <w:sz w:val="22"/>
          <w:szCs w:val="22"/>
          <w:lang w:eastAsia="uk-UA"/>
        </w:rPr>
        <w:t xml:space="preserve"> </w:t>
      </w:r>
      <w:r w:rsidR="00E55D8C" w:rsidRPr="00E55D8C">
        <w:rPr>
          <w:rFonts w:eastAsia="Calibri"/>
          <w:b w:val="0"/>
          <w:bCs/>
          <w:kern w:val="1"/>
          <w:sz w:val="22"/>
          <w:szCs w:val="22"/>
        </w:rPr>
        <w:t xml:space="preserve">Капітальний ремонт системи пожежної сигналізації (облаштування системи протипожежного захисту) у будівлі КЗ «Нікопольська середня загальноосвітня школа І-ІІІ ступенів №20» за адресою: вул. Шевченка, 204 в м. Нікополь Дніпропетровської області» </w:t>
      </w:r>
      <w:r w:rsidR="005E17C6" w:rsidRPr="00E55D8C">
        <w:rPr>
          <w:b w:val="0"/>
          <w:sz w:val="24"/>
          <w:szCs w:val="24"/>
          <w:lang w:eastAsia="uk-UA"/>
        </w:rPr>
        <w:t>ДК 021:2015: 45450000-6 – Інші завершальні будівельні роботи</w:t>
      </w:r>
      <w:r w:rsidRPr="00E55D8C">
        <w:rPr>
          <w:b w:val="0"/>
          <w:bCs/>
          <w:sz w:val="24"/>
          <w:szCs w:val="24"/>
          <w:lang w:eastAsia="uk-UA"/>
        </w:rPr>
        <w:t>, ми, ______________________________ (повне найменування учасника), приймаємо та погоджуємось</w:t>
      </w:r>
      <w:r w:rsidRPr="00E55D8C">
        <w:rPr>
          <w:b w:val="0"/>
          <w:iCs/>
          <w:sz w:val="24"/>
          <w:szCs w:val="24"/>
        </w:rPr>
        <w:t xml:space="preserve"> з усіма умовами тендерної документації на зазначеної вище </w:t>
      </w:r>
      <w:r w:rsidR="00293B50" w:rsidRPr="00E55D8C">
        <w:rPr>
          <w:b w:val="0"/>
          <w:iCs/>
          <w:sz w:val="24"/>
          <w:szCs w:val="24"/>
        </w:rPr>
        <w:t>закупівлі</w:t>
      </w:r>
      <w:r w:rsidRPr="00E55D8C">
        <w:rPr>
          <w:b w:val="0"/>
          <w:iCs/>
          <w:sz w:val="24"/>
          <w:szCs w:val="24"/>
        </w:rPr>
        <w:t xml:space="preserve">, в тому числі із проєктом договору про закупівлю, та пропонуємо </w:t>
      </w:r>
      <w:r w:rsidR="00E55D8C">
        <w:rPr>
          <w:b w:val="0"/>
          <w:iCs/>
          <w:sz w:val="24"/>
          <w:szCs w:val="24"/>
        </w:rPr>
        <w:t>виконати робти</w:t>
      </w:r>
      <w:r w:rsidR="00293B50" w:rsidRPr="00E55D8C">
        <w:rPr>
          <w:b w:val="0"/>
          <w:iCs/>
          <w:sz w:val="24"/>
          <w:szCs w:val="24"/>
        </w:rPr>
        <w:t xml:space="preserve"> на</w:t>
      </w:r>
      <w:r w:rsidRPr="00E55D8C">
        <w:rPr>
          <w:b w:val="0"/>
          <w:iCs/>
          <w:sz w:val="24"/>
          <w:szCs w:val="24"/>
        </w:rPr>
        <w:t xml:space="preserve"> загальну суму: _______________ (</w:t>
      </w:r>
      <w:r w:rsidRPr="00E55D8C">
        <w:rPr>
          <w:b w:val="0"/>
          <w:i/>
          <w:iCs/>
          <w:sz w:val="24"/>
          <w:szCs w:val="24"/>
        </w:rPr>
        <w:t>сума, цифрами і прописом</w:t>
      </w:r>
      <w:r w:rsidRPr="00E55D8C">
        <w:rPr>
          <w:b w:val="0"/>
          <w:iCs/>
          <w:sz w:val="24"/>
          <w:szCs w:val="24"/>
        </w:rPr>
        <w:t xml:space="preserve">) </w:t>
      </w:r>
      <w:r w:rsidR="00293B50" w:rsidRPr="00E55D8C">
        <w:rPr>
          <w:b w:val="0"/>
          <w:iCs/>
          <w:sz w:val="24"/>
          <w:szCs w:val="24"/>
          <w:lang w:eastAsia="uk-UA"/>
        </w:rPr>
        <w:t xml:space="preserve">грн. </w:t>
      </w:r>
      <w:r w:rsidRPr="00E55D8C">
        <w:rPr>
          <w:b w:val="0"/>
        </w:rPr>
        <w:t>з ПДВ/</w:t>
      </w:r>
      <w:r w:rsidRPr="00E55D8C">
        <w:rPr>
          <w:b w:val="0"/>
          <w:i/>
        </w:rPr>
        <w:t xml:space="preserve">без </w:t>
      </w:r>
      <w:r w:rsidRPr="00E55D8C">
        <w:rPr>
          <w:b w:val="0"/>
          <w:i/>
          <w:iCs/>
        </w:rPr>
        <w:t>ПДВ</w:t>
      </w:r>
      <w:r w:rsidRPr="00E55D8C">
        <w:rPr>
          <w:rStyle w:val="af6"/>
          <w:b w:val="0"/>
          <w:iCs/>
          <w:color w:val="0070C0"/>
          <w:sz w:val="24"/>
          <w:szCs w:val="24"/>
          <w:lang w:eastAsia="uk-UA"/>
        </w:rPr>
        <w:footnoteReference w:id="2"/>
      </w:r>
      <w:r w:rsidR="00293B50" w:rsidRPr="00E55D8C">
        <w:rPr>
          <w:b w:val="0"/>
          <w:i/>
          <w:iCs/>
          <w:color w:val="0070C0"/>
          <w:szCs w:val="24"/>
        </w:rPr>
        <w:t xml:space="preserve"> </w:t>
      </w:r>
      <w:r w:rsidRPr="00E55D8C">
        <w:rPr>
          <w:b w:val="0"/>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E55D8C">
        <w:rPr>
          <w:b w:val="0"/>
          <w:iCs/>
          <w:sz w:val="24"/>
          <w:szCs w:val="24"/>
        </w:rPr>
        <w:t xml:space="preserve"> </w:t>
      </w:r>
      <w:r w:rsidRPr="00E55D8C">
        <w:rPr>
          <w:b w:val="0"/>
          <w:iCs/>
          <w:sz w:val="24"/>
          <w:szCs w:val="24"/>
        </w:rPr>
        <w:t xml:space="preserve">України, усіх інших витрат </w:t>
      </w:r>
      <w:r w:rsidR="00293B50" w:rsidRPr="00E55D8C">
        <w:rPr>
          <w:b w:val="0"/>
          <w:iCs/>
          <w:sz w:val="24"/>
          <w:szCs w:val="24"/>
        </w:rPr>
        <w:t>Виконавця</w:t>
      </w:r>
      <w:r w:rsidRPr="00E55D8C">
        <w:rPr>
          <w:b w:val="0"/>
          <w:iCs/>
          <w:sz w:val="24"/>
          <w:szCs w:val="24"/>
        </w:rPr>
        <w:t xml:space="preserve">, пов’язаних з </w:t>
      </w:r>
      <w:r w:rsidR="00293B50" w:rsidRPr="00E55D8C">
        <w:rPr>
          <w:b w:val="0"/>
          <w:iCs/>
          <w:sz w:val="24"/>
          <w:szCs w:val="24"/>
        </w:rPr>
        <w:t>наданням послуги</w:t>
      </w:r>
      <w:r w:rsidRPr="00E55D8C">
        <w:rPr>
          <w:b w:val="0"/>
          <w:iCs/>
          <w:sz w:val="24"/>
          <w:szCs w:val="24"/>
        </w:rPr>
        <w:t>)</w:t>
      </w:r>
      <w:r w:rsidR="00293B50" w:rsidRPr="00E55D8C">
        <w:rPr>
          <w:b w:val="0"/>
          <w:iCs/>
          <w:sz w:val="24"/>
          <w:szCs w:val="24"/>
        </w:rPr>
        <w:t>.</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Pr>
          <w:rFonts w:ascii="Times New Roman" w:eastAsia="Arial" w:hAnsi="Times New Roman"/>
          <w:iCs/>
          <w:color w:val="000000"/>
          <w:sz w:val="24"/>
          <w:szCs w:val="24"/>
        </w:rPr>
        <w:t>____</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w:t>
      </w:r>
      <w:r>
        <w:rPr>
          <w:rFonts w:ascii="Times New Roman" w:eastAsia="Arial" w:hAnsi="Times New Roman"/>
          <w:iCs/>
          <w:color w:val="000000"/>
          <w:sz w:val="24"/>
          <w:szCs w:val="24"/>
        </w:rPr>
        <w:lastRenderedPageBreak/>
        <w:t>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BB05EF" w:rsidP="00BB05EF">
      <w:pPr>
        <w:pageBreakBefore/>
        <w:widowControl w:val="0"/>
        <w:spacing w:after="0"/>
        <w:jc w:val="right"/>
        <w:rPr>
          <w:rFonts w:ascii="Times New Roman" w:eastAsia="Arial" w:hAnsi="Times New Roman"/>
          <w:color w:val="000000"/>
          <w:sz w:val="24"/>
          <w:szCs w:val="24"/>
        </w:rPr>
      </w:pPr>
      <w:r w:rsidRPr="00BB05EF">
        <w:rPr>
          <w:rFonts w:ascii="Times New Roman" w:eastAsia="Arial" w:hAnsi="Times New Roman"/>
          <w:color w:val="000000"/>
          <w:sz w:val="24"/>
          <w:szCs w:val="24"/>
        </w:rPr>
        <w:lastRenderedPageBreak/>
        <w:t>Додаток</w:t>
      </w:r>
      <w:r>
        <w:rPr>
          <w:rFonts w:ascii="Times New Roman" w:eastAsia="Arial" w:hAnsi="Times New Roman"/>
          <w:color w:val="000000"/>
          <w:sz w:val="24"/>
          <w:szCs w:val="24"/>
        </w:rPr>
        <w:t xml:space="preserve"> </w:t>
      </w:r>
      <w:r>
        <w:rPr>
          <w:rFonts w:ascii="Times New Roman" w:eastAsia="Arial" w:hAnsi="Times New Roman"/>
          <w:color w:val="000000"/>
          <w:sz w:val="24"/>
          <w:szCs w:val="24"/>
          <w:lang w:val="ru-RU"/>
        </w:rPr>
        <w:t>5</w:t>
      </w:r>
      <w:r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9F5" w:rsidRDefault="00CD49F5" w:rsidP="007E4FE4">
      <w:pPr>
        <w:spacing w:after="0" w:line="240" w:lineRule="auto"/>
      </w:pPr>
      <w:r>
        <w:separator/>
      </w:r>
    </w:p>
  </w:endnote>
  <w:endnote w:type="continuationSeparator" w:id="1">
    <w:p w:rsidR="00CD49F5" w:rsidRDefault="00CD49F5"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0C" w:rsidRDefault="00246DD3">
    <w:pPr>
      <w:jc w:val="right"/>
    </w:pPr>
    <w:r>
      <w:rPr>
        <w:rFonts w:ascii="Times New Roman" w:eastAsia="Times New Roman" w:hAnsi="Times New Roman" w:cs="Times New Roman"/>
        <w:sz w:val="24"/>
        <w:szCs w:val="24"/>
      </w:rPr>
      <w:fldChar w:fldCharType="begin"/>
    </w:r>
    <w:r w:rsidR="00751C0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07A6">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0C" w:rsidRDefault="00751C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9F5" w:rsidRDefault="00CD49F5" w:rsidP="007E4FE4">
      <w:pPr>
        <w:spacing w:after="0" w:line="240" w:lineRule="auto"/>
      </w:pPr>
      <w:r>
        <w:separator/>
      </w:r>
    </w:p>
  </w:footnote>
  <w:footnote w:type="continuationSeparator" w:id="1">
    <w:p w:rsidR="00CD49F5" w:rsidRDefault="00CD49F5" w:rsidP="007E4FE4">
      <w:pPr>
        <w:spacing w:after="0" w:line="240" w:lineRule="auto"/>
      </w:pPr>
      <w:r>
        <w:continuationSeparator/>
      </w:r>
    </w:p>
  </w:footnote>
  <w:footnote w:id="2">
    <w:p w:rsidR="000C5F86" w:rsidRDefault="000C5F86"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0C5F86" w:rsidRDefault="000C5F86"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0C" w:rsidRDefault="00246DD3">
    <w:pPr>
      <w:jc w:val="right"/>
    </w:pPr>
    <w:fldSimple w:instr="PAGE">
      <w:r w:rsidR="007207A6">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0C" w:rsidRDefault="00246DD3">
    <w:pPr>
      <w:jc w:val="right"/>
    </w:pPr>
    <w:fldSimple w:instr="PAGE">
      <w:r w:rsidR="007207A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5">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21A20"/>
    <w:rsid w:val="000615B0"/>
    <w:rsid w:val="000770DC"/>
    <w:rsid w:val="00082DEB"/>
    <w:rsid w:val="000C259F"/>
    <w:rsid w:val="000C5F86"/>
    <w:rsid w:val="00130D3C"/>
    <w:rsid w:val="001722F5"/>
    <w:rsid w:val="00186C11"/>
    <w:rsid w:val="00191D73"/>
    <w:rsid w:val="00222F9C"/>
    <w:rsid w:val="00244A6F"/>
    <w:rsid w:val="00246DD3"/>
    <w:rsid w:val="00293B50"/>
    <w:rsid w:val="00294FAE"/>
    <w:rsid w:val="00351928"/>
    <w:rsid w:val="00385068"/>
    <w:rsid w:val="0038697E"/>
    <w:rsid w:val="003B503C"/>
    <w:rsid w:val="00402C82"/>
    <w:rsid w:val="0043409D"/>
    <w:rsid w:val="004403EE"/>
    <w:rsid w:val="004471A1"/>
    <w:rsid w:val="00466892"/>
    <w:rsid w:val="00494767"/>
    <w:rsid w:val="004A5EDD"/>
    <w:rsid w:val="004D0D3A"/>
    <w:rsid w:val="00502582"/>
    <w:rsid w:val="005055FA"/>
    <w:rsid w:val="00527305"/>
    <w:rsid w:val="00562CA2"/>
    <w:rsid w:val="00570A8A"/>
    <w:rsid w:val="00580FE9"/>
    <w:rsid w:val="005A223A"/>
    <w:rsid w:val="005E17C6"/>
    <w:rsid w:val="005E2E2A"/>
    <w:rsid w:val="005E4C23"/>
    <w:rsid w:val="005F76BA"/>
    <w:rsid w:val="0060253A"/>
    <w:rsid w:val="006303FF"/>
    <w:rsid w:val="0065416C"/>
    <w:rsid w:val="00655E00"/>
    <w:rsid w:val="006C5549"/>
    <w:rsid w:val="006E7E69"/>
    <w:rsid w:val="0070181C"/>
    <w:rsid w:val="007207A6"/>
    <w:rsid w:val="00723BE4"/>
    <w:rsid w:val="00751C0C"/>
    <w:rsid w:val="00794C9E"/>
    <w:rsid w:val="007B78E4"/>
    <w:rsid w:val="007E234A"/>
    <w:rsid w:val="007E4FE4"/>
    <w:rsid w:val="007F0EAD"/>
    <w:rsid w:val="007F197E"/>
    <w:rsid w:val="00820D1C"/>
    <w:rsid w:val="0082646B"/>
    <w:rsid w:val="00833021"/>
    <w:rsid w:val="00842ACC"/>
    <w:rsid w:val="0086556E"/>
    <w:rsid w:val="00871331"/>
    <w:rsid w:val="00892049"/>
    <w:rsid w:val="00894552"/>
    <w:rsid w:val="008E2A74"/>
    <w:rsid w:val="009343BC"/>
    <w:rsid w:val="00971C53"/>
    <w:rsid w:val="009F70C4"/>
    <w:rsid w:val="00A06623"/>
    <w:rsid w:val="00A82031"/>
    <w:rsid w:val="00A83944"/>
    <w:rsid w:val="00A908A9"/>
    <w:rsid w:val="00A93E12"/>
    <w:rsid w:val="00AE7981"/>
    <w:rsid w:val="00B24D7C"/>
    <w:rsid w:val="00B709DD"/>
    <w:rsid w:val="00BB05EF"/>
    <w:rsid w:val="00BB133E"/>
    <w:rsid w:val="00BC3BF4"/>
    <w:rsid w:val="00BF66A1"/>
    <w:rsid w:val="00C0359A"/>
    <w:rsid w:val="00C13357"/>
    <w:rsid w:val="00C50100"/>
    <w:rsid w:val="00CA70D6"/>
    <w:rsid w:val="00CC0B4F"/>
    <w:rsid w:val="00CD49F5"/>
    <w:rsid w:val="00CE5B1D"/>
    <w:rsid w:val="00D245FD"/>
    <w:rsid w:val="00D570F8"/>
    <w:rsid w:val="00D7714E"/>
    <w:rsid w:val="00DA3CAF"/>
    <w:rsid w:val="00DB322D"/>
    <w:rsid w:val="00DE65D0"/>
    <w:rsid w:val="00DE6A01"/>
    <w:rsid w:val="00E32B6B"/>
    <w:rsid w:val="00E341F0"/>
    <w:rsid w:val="00E35A67"/>
    <w:rsid w:val="00E55D8C"/>
    <w:rsid w:val="00E62E4A"/>
    <w:rsid w:val="00E95894"/>
    <w:rsid w:val="00EB7043"/>
    <w:rsid w:val="00EC2A83"/>
    <w:rsid w:val="00EE0644"/>
    <w:rsid w:val="00F2051E"/>
    <w:rsid w:val="00F76AD8"/>
    <w:rsid w:val="00F822C8"/>
    <w:rsid w:val="00F85664"/>
    <w:rsid w:val="00F91D9B"/>
    <w:rsid w:val="00FB34A4"/>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paragraph" w:customStyle="1" w:styleId="--14">
    <w:name w:val="ЕТС-ОТ(Ц-Ж)14"/>
    <w:basedOn w:val="a"/>
    <w:qFormat/>
    <w:rsid w:val="00EC2A83"/>
    <w:pPr>
      <w:suppressAutoHyphens/>
      <w:spacing w:after="0" w:line="240" w:lineRule="auto"/>
      <w:jc w:val="center"/>
    </w:pPr>
    <w:rPr>
      <w:rFonts w:ascii="Times New Roman" w:eastAsia="Times New Roman" w:hAnsi="Times New Roman" w:cs="Times New Roman"/>
      <w:b/>
      <w:sz w:val="28"/>
      <w:szCs w:val="28"/>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28</Pages>
  <Words>9384</Words>
  <Characters>53494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27</cp:revision>
  <dcterms:created xsi:type="dcterms:W3CDTF">2023-03-03T06:46:00Z</dcterms:created>
  <dcterms:modified xsi:type="dcterms:W3CDTF">2023-06-15T07:25:00Z</dcterms:modified>
</cp:coreProperties>
</file>