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07EFE1C2" w:rsidR="00C0459B" w:rsidRPr="00AE4089" w:rsidRDefault="00C0459B" w:rsidP="009D563D">
            <w:pPr>
              <w:spacing w:line="264" w:lineRule="auto"/>
              <w:jc w:val="right"/>
              <w:rPr>
                <w:b/>
                <w:bCs/>
              </w:rPr>
            </w:pPr>
            <w:r w:rsidRPr="00AE4089">
              <w:rPr>
                <w:b/>
                <w:bCs/>
              </w:rPr>
              <w:t xml:space="preserve">                 від</w:t>
            </w:r>
            <w:r w:rsidRPr="00AE4089">
              <w:t xml:space="preserve"> </w:t>
            </w:r>
            <w:r w:rsidRPr="00AE4089">
              <w:rPr>
                <w:b/>
              </w:rPr>
              <w:t>«</w:t>
            </w:r>
            <w:r w:rsidR="009D563D">
              <w:rPr>
                <w:b/>
                <w:lang w:val="ru-RU"/>
              </w:rPr>
              <w:t>20</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Pr="004B25E6"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7425020B" w14:textId="0D659CA6" w:rsidR="00EB3768" w:rsidRDefault="00141A3C" w:rsidP="00EB3768">
      <w:pPr>
        <w:spacing w:line="264" w:lineRule="auto"/>
        <w:jc w:val="center"/>
        <w:rPr>
          <w:rFonts w:eastAsia="Andale Sans UI"/>
          <w:b/>
          <w:kern w:val="1"/>
          <w:sz w:val="28"/>
          <w:szCs w:val="28"/>
        </w:rPr>
      </w:pPr>
      <w:r w:rsidRPr="00141A3C">
        <w:rPr>
          <w:rFonts w:eastAsia="Andale Sans UI"/>
          <w:b/>
          <w:kern w:val="1"/>
          <w:sz w:val="28"/>
          <w:szCs w:val="28"/>
        </w:rPr>
        <w:t>Лабораторні реагенти для аналізатора біохімічного автоматичного GBG GS Модель: 1700</w:t>
      </w:r>
    </w:p>
    <w:p w14:paraId="7DD2195F" w14:textId="77777777" w:rsidR="00E71EE9" w:rsidRPr="00EB3768" w:rsidRDefault="00E71EE9" w:rsidP="00EB3768">
      <w:pPr>
        <w:spacing w:line="264" w:lineRule="auto"/>
        <w:jc w:val="center"/>
        <w:rPr>
          <w:rFonts w:eastAsia="Andale Sans UI"/>
          <w:b/>
          <w:kern w:val="1"/>
          <w:sz w:val="28"/>
          <w:szCs w:val="28"/>
        </w:rPr>
      </w:pPr>
    </w:p>
    <w:p w14:paraId="6F60F692" w14:textId="184B984A" w:rsidR="000A73F7" w:rsidRDefault="0011102A" w:rsidP="0011102A">
      <w:pPr>
        <w:spacing w:line="264" w:lineRule="auto"/>
        <w:jc w:val="center"/>
        <w:rPr>
          <w:rFonts w:eastAsia="Andale Sans UI"/>
          <w:kern w:val="1"/>
          <w:sz w:val="28"/>
          <w:szCs w:val="28"/>
        </w:rPr>
      </w:pPr>
      <w:r>
        <w:rPr>
          <w:rFonts w:eastAsia="Andale Sans UI"/>
          <w:kern w:val="1"/>
          <w:sz w:val="28"/>
          <w:szCs w:val="28"/>
        </w:rPr>
        <w:t xml:space="preserve">Код </w:t>
      </w:r>
      <w:r w:rsidRPr="0011102A">
        <w:rPr>
          <w:rFonts w:eastAsia="Andale Sans UI"/>
          <w:kern w:val="1"/>
          <w:sz w:val="28"/>
          <w:szCs w:val="28"/>
        </w:rPr>
        <w:t>ДК 021:2015 - 33690000-3 Лікарські засоби різні  (33694000-1- Діагностичні засоби</w:t>
      </w:r>
      <w:r>
        <w:rPr>
          <w:rFonts w:eastAsia="Andale Sans UI"/>
          <w:kern w:val="1"/>
          <w:sz w:val="28"/>
          <w:szCs w:val="28"/>
        </w:rPr>
        <w:t>)</w:t>
      </w:r>
    </w:p>
    <w:p w14:paraId="784422F9" w14:textId="4246DCCF" w:rsidR="00141A3C" w:rsidRPr="00141A3C" w:rsidRDefault="0011102A" w:rsidP="00141A3C">
      <w:pPr>
        <w:spacing w:line="264" w:lineRule="auto"/>
        <w:jc w:val="both"/>
        <w:rPr>
          <w:rFonts w:eastAsia="Andale Sans UI"/>
          <w:kern w:val="1"/>
        </w:rPr>
      </w:pPr>
      <w:r w:rsidRPr="0011102A">
        <w:rPr>
          <w:rFonts w:eastAsia="Andale Sans UI"/>
          <w:kern w:val="1"/>
        </w:rPr>
        <w:t xml:space="preserve">Код НКМВ 024:2023 – </w:t>
      </w:r>
      <w:r w:rsidR="00141A3C" w:rsidRPr="00141A3C">
        <w:rPr>
          <w:rFonts w:eastAsia="Andale Sans UI"/>
          <w:kern w:val="1"/>
        </w:rPr>
        <w:t>52923 Аланінамінотрансфераза (ALT)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52954 Загальна аспартатамінотрансфераза (AST)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53989 Загальний білок IVD (діагностика in vitro), реагент</w:t>
      </w:r>
      <w:r w:rsidR="00141A3C">
        <w:rPr>
          <w:rFonts w:eastAsia="Andale Sans UI"/>
          <w:kern w:val="1"/>
        </w:rPr>
        <w:t xml:space="preserve">; </w:t>
      </w:r>
      <w:r w:rsidR="00141A3C" w:rsidRPr="00141A3C">
        <w:rPr>
          <w:rFonts w:eastAsia="Andale Sans UI"/>
          <w:kern w:val="1"/>
        </w:rPr>
        <w:t>52941 Загальна амілаза IVD (діагностика in vitro ), реагент</w:t>
      </w:r>
      <w:r w:rsidR="00141A3C">
        <w:rPr>
          <w:rFonts w:eastAsia="Andale Sans UI"/>
          <w:kern w:val="1"/>
        </w:rPr>
        <w:t xml:space="preserve">; </w:t>
      </w:r>
      <w:r w:rsidR="00C839F6" w:rsidRPr="00C839F6">
        <w:rPr>
          <w:rFonts w:eastAsia="Andale Sans UI"/>
          <w:kern w:val="1"/>
        </w:rPr>
        <w:t>53587</w:t>
      </w:r>
      <w:r w:rsidR="00141A3C" w:rsidRPr="00141A3C">
        <w:rPr>
          <w:rFonts w:eastAsia="Andale Sans UI"/>
          <w:kern w:val="1"/>
        </w:rPr>
        <w:t xml:space="preserve"> Сечовина (Urea) IVD</w:t>
      </w:r>
      <w:r w:rsidR="00141A3C">
        <w:rPr>
          <w:rFonts w:eastAsia="Andale Sans UI"/>
          <w:kern w:val="1"/>
        </w:rPr>
        <w:t xml:space="preserve"> </w:t>
      </w:r>
      <w:r w:rsidR="00141A3C" w:rsidRPr="00141A3C">
        <w:rPr>
          <w:rFonts w:eastAsia="Andale Sans UI"/>
          <w:kern w:val="1"/>
        </w:rPr>
        <w:t>(діагностика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53251 Креатинін IVD (діагностика in vitro), набір, спектрофотометричний аналіз</w:t>
      </w:r>
      <w:r w:rsidR="00141A3C">
        <w:rPr>
          <w:rFonts w:eastAsia="Andale Sans UI"/>
          <w:kern w:val="1"/>
        </w:rPr>
        <w:t xml:space="preserve">; </w:t>
      </w:r>
      <w:r w:rsidR="00141A3C" w:rsidRPr="00141A3C">
        <w:rPr>
          <w:rFonts w:eastAsia="Andale Sans UI"/>
          <w:kern w:val="1"/>
        </w:rPr>
        <w:t>52928 Загальна лужна фосфатаза (ALP) IVD (діагностика in vitro ),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53231 Загальний білірубін IVD (діагностика in vitro ), реагент</w:t>
      </w:r>
      <w:r w:rsidR="00141A3C">
        <w:rPr>
          <w:rFonts w:eastAsia="Andale Sans UI"/>
          <w:kern w:val="1"/>
        </w:rPr>
        <w:t xml:space="preserve">; </w:t>
      </w:r>
      <w:r w:rsidR="00141A3C" w:rsidRPr="00141A3C">
        <w:rPr>
          <w:rFonts w:eastAsia="Andale Sans UI"/>
          <w:kern w:val="1"/>
        </w:rPr>
        <w:t>53232 Кон'югований (прямий, зв'язаний) білірубін IVD (діагностика in vitro ),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53597 Альбумін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53359 Загальний холестерин IVD (діагностика in vitro), набір, ферментний спектрофотометричний аналіз</w:t>
      </w:r>
      <w:r w:rsidR="00141A3C">
        <w:rPr>
          <w:rFonts w:eastAsia="Andale Sans UI"/>
          <w:kern w:val="1"/>
        </w:rPr>
        <w:t xml:space="preserve">; </w:t>
      </w:r>
    </w:p>
    <w:p w14:paraId="68FE9694" w14:textId="2CB39CF6" w:rsidR="00141A3C" w:rsidRPr="00141A3C" w:rsidRDefault="00141A3C" w:rsidP="00141A3C">
      <w:pPr>
        <w:spacing w:line="264" w:lineRule="auto"/>
        <w:jc w:val="both"/>
        <w:rPr>
          <w:rFonts w:eastAsia="Andale Sans UI"/>
          <w:kern w:val="1"/>
        </w:rPr>
      </w:pPr>
      <w:r w:rsidRPr="00141A3C">
        <w:rPr>
          <w:rFonts w:eastAsia="Andale Sans UI"/>
          <w:kern w:val="1"/>
        </w:rPr>
        <w:t>53583 Сечова кислота IVD (діагностика in vitro ), набір, ферментний спектрофотометричний аналіз</w:t>
      </w:r>
      <w:r>
        <w:rPr>
          <w:rFonts w:eastAsia="Andale Sans UI"/>
          <w:kern w:val="1"/>
        </w:rPr>
        <w:t>;</w:t>
      </w:r>
    </w:p>
    <w:p w14:paraId="0A1B8628" w14:textId="283CB102" w:rsidR="00141A3C" w:rsidRPr="0011102A" w:rsidRDefault="00141A3C" w:rsidP="00141A3C">
      <w:pPr>
        <w:spacing w:line="264" w:lineRule="auto"/>
        <w:jc w:val="both"/>
        <w:rPr>
          <w:rFonts w:eastAsia="Andale Sans UI"/>
          <w:kern w:val="1"/>
        </w:rPr>
      </w:pPr>
      <w:r w:rsidRPr="00141A3C">
        <w:rPr>
          <w:rFonts w:eastAsia="Andale Sans UI"/>
          <w:kern w:val="1"/>
        </w:rPr>
        <w:t>46795 - Магній (Mg2 +) IVD (діагностика in vitro), набір, спектрофотометричний аналіз</w:t>
      </w:r>
      <w:r>
        <w:rPr>
          <w:rFonts w:eastAsia="Andale Sans UI"/>
          <w:kern w:val="1"/>
        </w:rPr>
        <w:t xml:space="preserve">; </w:t>
      </w:r>
      <w:r w:rsidRPr="00141A3C">
        <w:rPr>
          <w:rFonts w:eastAsia="Andale Sans UI"/>
          <w:kern w:val="1"/>
        </w:rPr>
        <w:t>45789 - Кальцій (Ca2 +) IVD (діагностика in vitro), набір, спектрофотометричний аналіз</w:t>
      </w:r>
      <w:r>
        <w:rPr>
          <w:rFonts w:eastAsia="Andale Sans UI"/>
          <w:kern w:val="1"/>
        </w:rPr>
        <w:t xml:space="preserve">; </w:t>
      </w:r>
      <w:r w:rsidRPr="00141A3C">
        <w:rPr>
          <w:rFonts w:eastAsia="Andale Sans UI"/>
          <w:kern w:val="1"/>
        </w:rPr>
        <w:t>53460 Тригліцериди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47868 Множинні аналіти клінічної хімії IVD (діагностика in vitro), калібратор</w:t>
      </w:r>
      <w:r>
        <w:rPr>
          <w:rFonts w:eastAsia="Andale Sans UI"/>
          <w:kern w:val="1"/>
        </w:rPr>
        <w:t xml:space="preserve">; </w:t>
      </w:r>
      <w:r w:rsidRPr="00141A3C">
        <w:rPr>
          <w:rFonts w:eastAsia="Andale Sans UI"/>
          <w:kern w:val="1"/>
        </w:rPr>
        <w:t>47869 Множинні аналіти клінічної хімії IVD (діагностика in vitro), контрольний матеріал</w:t>
      </w:r>
    </w:p>
    <w:p w14:paraId="206A7238" w14:textId="77777777" w:rsidR="00E71EE9" w:rsidRPr="0011102A" w:rsidRDefault="00E71EE9" w:rsidP="00E71EE9">
      <w:pPr>
        <w:spacing w:line="264" w:lineRule="auto"/>
        <w:jc w:val="center"/>
      </w:pP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765ABA7C" w14:textId="437D404B" w:rsidR="0011102A" w:rsidRPr="00141A3C" w:rsidRDefault="00141A3C" w:rsidP="0011102A">
            <w:pPr>
              <w:spacing w:line="276" w:lineRule="auto"/>
              <w:jc w:val="both"/>
              <w:rPr>
                <w:rFonts w:eastAsia="Andale Sans UI"/>
                <w:b/>
                <w:kern w:val="1"/>
              </w:rPr>
            </w:pPr>
            <w:r w:rsidRPr="00141A3C">
              <w:rPr>
                <w:rFonts w:eastAsia="Andale Sans UI"/>
                <w:b/>
                <w:kern w:val="1"/>
              </w:rPr>
              <w:t>Лабораторні реагенти для аналізатора біохімічного автоматичного GBG GS Модель: 1700</w:t>
            </w:r>
            <w:r>
              <w:rPr>
                <w:rFonts w:eastAsia="Andale Sans UI"/>
                <w:b/>
                <w:kern w:val="1"/>
              </w:rPr>
              <w:t>.</w:t>
            </w:r>
          </w:p>
          <w:p w14:paraId="512E74D7" w14:textId="3F12418C" w:rsidR="00D717CF" w:rsidRDefault="0011102A" w:rsidP="0011102A">
            <w:pPr>
              <w:spacing w:line="276" w:lineRule="auto"/>
              <w:jc w:val="both"/>
              <w:rPr>
                <w:rFonts w:eastAsia="Andale Sans UI"/>
                <w:kern w:val="1"/>
              </w:rPr>
            </w:pPr>
            <w:r>
              <w:rPr>
                <w:rFonts w:eastAsia="Andale Sans UI"/>
                <w:kern w:val="1"/>
              </w:rPr>
              <w:t xml:space="preserve">Код </w:t>
            </w:r>
            <w:r w:rsidRPr="0011102A">
              <w:rPr>
                <w:rFonts w:eastAsia="Andale Sans UI"/>
                <w:kern w:val="1"/>
              </w:rPr>
              <w:t>ДК 021:2015 - 33690000-3 Лікарські засоби різні  (33694000-1- Діагностичні засоби)</w:t>
            </w:r>
          </w:p>
          <w:p w14:paraId="4E57A905" w14:textId="1F275C27" w:rsidR="00141A3C" w:rsidRPr="0011102A" w:rsidRDefault="00141A3C" w:rsidP="00141A3C">
            <w:pPr>
              <w:spacing w:line="264" w:lineRule="auto"/>
              <w:jc w:val="both"/>
              <w:rPr>
                <w:rFonts w:eastAsia="Andale Sans UI"/>
                <w:kern w:val="1"/>
              </w:rPr>
            </w:pPr>
            <w:r w:rsidRPr="0011102A">
              <w:rPr>
                <w:rFonts w:eastAsia="Andale Sans UI"/>
                <w:kern w:val="1"/>
              </w:rPr>
              <w:t xml:space="preserve">Код НКМВ 024:2023 – </w:t>
            </w:r>
            <w:r w:rsidRPr="00141A3C">
              <w:rPr>
                <w:rFonts w:eastAsia="Andale Sans UI"/>
                <w:kern w:val="1"/>
              </w:rPr>
              <w:t>52923 Аланінамінотрансфераза (ALT)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52954 Загальна аспартатамінотрансфераза (AST)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53989 Загальний білок IVD (діагностика in vitro), реагент</w:t>
            </w:r>
            <w:r>
              <w:rPr>
                <w:rFonts w:eastAsia="Andale Sans UI"/>
                <w:kern w:val="1"/>
              </w:rPr>
              <w:t xml:space="preserve">; </w:t>
            </w:r>
            <w:r w:rsidRPr="00141A3C">
              <w:rPr>
                <w:rFonts w:eastAsia="Andale Sans UI"/>
                <w:kern w:val="1"/>
              </w:rPr>
              <w:t>52941 Загальна амілаза IVD (діагностика in vitro ), реагент</w:t>
            </w:r>
            <w:r>
              <w:rPr>
                <w:rFonts w:eastAsia="Andale Sans UI"/>
                <w:kern w:val="1"/>
              </w:rPr>
              <w:t xml:space="preserve">; </w:t>
            </w:r>
            <w:r w:rsidR="00E57398" w:rsidRPr="00E57398">
              <w:rPr>
                <w:rFonts w:eastAsia="Andale Sans UI"/>
                <w:kern w:val="1"/>
              </w:rPr>
              <w:t>53587</w:t>
            </w:r>
            <w:r w:rsidRPr="00141A3C">
              <w:rPr>
                <w:rFonts w:eastAsia="Andale Sans UI"/>
                <w:kern w:val="1"/>
              </w:rPr>
              <w:t xml:space="preserve"> Сечовина (Urea) IVD</w:t>
            </w:r>
            <w:r>
              <w:rPr>
                <w:rFonts w:eastAsia="Andale Sans UI"/>
                <w:kern w:val="1"/>
              </w:rPr>
              <w:t xml:space="preserve"> </w:t>
            </w:r>
            <w:r w:rsidRPr="00141A3C">
              <w:rPr>
                <w:rFonts w:eastAsia="Andale Sans UI"/>
                <w:kern w:val="1"/>
              </w:rPr>
              <w:t>(діагностика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53251 Креатинін IVD (діагностика in vitro), набір, спектрофотометричний аналіз</w:t>
            </w:r>
            <w:r>
              <w:rPr>
                <w:rFonts w:eastAsia="Andale Sans UI"/>
                <w:kern w:val="1"/>
              </w:rPr>
              <w:t xml:space="preserve">; </w:t>
            </w:r>
            <w:r w:rsidRPr="00141A3C">
              <w:rPr>
                <w:rFonts w:eastAsia="Andale Sans UI"/>
                <w:kern w:val="1"/>
              </w:rPr>
              <w:t>52928 Загальна лужна фосфатаза (ALP)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53231 Загальний білірубін IVD (діагностика in vitro ), реагент</w:t>
            </w:r>
            <w:r>
              <w:rPr>
                <w:rFonts w:eastAsia="Andale Sans UI"/>
                <w:kern w:val="1"/>
              </w:rPr>
              <w:t xml:space="preserve">; </w:t>
            </w:r>
            <w:r w:rsidRPr="00141A3C">
              <w:rPr>
                <w:rFonts w:eastAsia="Andale Sans UI"/>
                <w:kern w:val="1"/>
              </w:rPr>
              <w:t>53232 Кон'югований (прямий, зв'язаний) білірубін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53597 Альбумін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 xml:space="preserve">53359 Загальний холестерин IVD (діагностика in vitro), </w:t>
            </w:r>
            <w:r w:rsidRPr="00141A3C">
              <w:rPr>
                <w:rFonts w:eastAsia="Andale Sans UI"/>
                <w:kern w:val="1"/>
              </w:rPr>
              <w:lastRenderedPageBreak/>
              <w:t>набір, ферментний спектрофотометричний аналіз</w:t>
            </w:r>
            <w:r>
              <w:rPr>
                <w:rFonts w:eastAsia="Andale Sans UI"/>
                <w:kern w:val="1"/>
              </w:rPr>
              <w:t xml:space="preserve">; </w:t>
            </w:r>
            <w:r w:rsidRPr="00141A3C">
              <w:rPr>
                <w:rFonts w:eastAsia="Andale Sans UI"/>
                <w:kern w:val="1"/>
              </w:rPr>
              <w:t>53583 Сечова кислота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46795 - Магній (Mg2 +) IVD (діагностика in vitro), набір, спектрофотометричний аналіз</w:t>
            </w:r>
            <w:r>
              <w:rPr>
                <w:rFonts w:eastAsia="Andale Sans UI"/>
                <w:kern w:val="1"/>
              </w:rPr>
              <w:t xml:space="preserve">; </w:t>
            </w:r>
            <w:r w:rsidRPr="00141A3C">
              <w:rPr>
                <w:rFonts w:eastAsia="Andale Sans UI"/>
                <w:kern w:val="1"/>
              </w:rPr>
              <w:t>45789 - Кальцій (Ca2 +) IVD (діагностика in vitro), набір, спектрофотометричний аналіз</w:t>
            </w:r>
            <w:r>
              <w:rPr>
                <w:rFonts w:eastAsia="Andale Sans UI"/>
                <w:kern w:val="1"/>
              </w:rPr>
              <w:t xml:space="preserve">; </w:t>
            </w:r>
            <w:r w:rsidRPr="00141A3C">
              <w:rPr>
                <w:rFonts w:eastAsia="Andale Sans UI"/>
                <w:kern w:val="1"/>
              </w:rPr>
              <w:t>53460 Тригліцериди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47868 Множинні аналіти клінічної хімії IVD (діагностика in vitro), калібратор</w:t>
            </w:r>
            <w:r>
              <w:rPr>
                <w:rFonts w:eastAsia="Andale Sans UI"/>
                <w:kern w:val="1"/>
              </w:rPr>
              <w:t xml:space="preserve">; </w:t>
            </w:r>
            <w:r w:rsidRPr="00141A3C">
              <w:rPr>
                <w:rFonts w:eastAsia="Andale Sans UI"/>
                <w:kern w:val="1"/>
              </w:rPr>
              <w:t>47869 Множинні аналіти клінічної хімії IVD (діагностика in vitro), контрольний матеріал</w:t>
            </w:r>
          </w:p>
          <w:p w14:paraId="68958575" w14:textId="2E5D4E09" w:rsidR="0011102A" w:rsidRPr="000B5AEF" w:rsidRDefault="0011102A" w:rsidP="00141A3C">
            <w:pPr>
              <w:spacing w:line="264"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599EFA12"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31</w:t>
            </w:r>
            <w:r w:rsidR="00B877D6" w:rsidRPr="00494B0B">
              <w:rPr>
                <w:b/>
                <w:lang w:val="uk-UA"/>
              </w:rPr>
              <w:t>.</w:t>
            </w:r>
            <w:r w:rsidR="0011102A">
              <w:rPr>
                <w:b/>
                <w:lang w:val="uk-UA"/>
              </w:rPr>
              <w:t>12</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 xml:space="preserve">Ісламської </w:t>
            </w:r>
            <w:r w:rsidR="0011102A" w:rsidRPr="0011102A">
              <w:rPr>
                <w:rFonts w:ascii="Times New Roman CYR" w:hAnsi="Times New Roman CYR" w:cs="Times New Roman CYR"/>
                <w:lang w:eastAsia="ar-SA"/>
              </w:rPr>
              <w:lastRenderedPageBreak/>
              <w:t>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w:t>
            </w:r>
            <w:r w:rsidR="000753D4" w:rsidRPr="000753D4">
              <w:rPr>
                <w:rFonts w:ascii="Times New Roman" w:hAnsi="Times New Roman"/>
                <w:sz w:val="24"/>
              </w:rPr>
              <w:lastRenderedPageBreak/>
              <w:t>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322954">
              <w:rPr>
                <w:color w:val="000000"/>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 xml:space="preserve">і, присвоєного електронною системою закупівель та/або </w:t>
            </w:r>
            <w:r>
              <w:rPr>
                <w:color w:val="000000"/>
              </w:rPr>
              <w:lastRenderedPageBreak/>
              <w:t>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 xml:space="preserve">10. Подання документа (документів) учасником процедури </w:t>
            </w:r>
            <w:r>
              <w:rPr>
                <w:color w:val="000000"/>
              </w:rPr>
              <w:lastRenderedPageBreak/>
              <w:t>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w:t>
            </w:r>
            <w:r w:rsidR="00E07BCE">
              <w:rPr>
                <w:color w:val="000000"/>
                <w:shd w:val="solid" w:color="FFFFFF" w:fill="FFFFFF"/>
              </w:rPr>
              <w:lastRenderedPageBreak/>
              <w:t>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0A6F84" w:rsidRPr="00611CDA">
              <w:rPr>
                <w:color w:val="000000"/>
                <w:shd w:val="solid" w:color="FFFFFF" w:fill="FFFFFF"/>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A11F9A" w:rsidRPr="00A11F9A">
              <w:rPr>
                <w:color w:val="000000"/>
                <w:shd w:val="solid" w:color="FFFFFF" w:fill="FFFFFF"/>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w:t>
            </w:r>
            <w:r w:rsidR="0086338D" w:rsidRPr="00870B36">
              <w:lastRenderedPageBreak/>
              <w:t>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 xml:space="preserve">Інформація про субпідрядника / </w:t>
            </w:r>
            <w:r w:rsidRPr="009A46AB">
              <w:rPr>
                <w:b/>
                <w:color w:val="000000"/>
              </w:rPr>
              <w:lastRenderedPageBreak/>
              <w:t>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lastRenderedPageBreak/>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lastRenderedPageBreak/>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624CA293"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11102A">
              <w:rPr>
                <w:b/>
                <w:lang w:val="ru-RU"/>
              </w:rPr>
              <w:t>2</w:t>
            </w:r>
            <w:r w:rsidR="009D563D">
              <w:rPr>
                <w:b/>
                <w:lang w:val="ru-RU"/>
              </w:rPr>
              <w:t>5</w:t>
            </w:r>
            <w:bookmarkStart w:id="7" w:name="_GoBack"/>
            <w:bookmarkEnd w:id="7"/>
            <w:r w:rsidR="0086338D" w:rsidRPr="0083421E">
              <w:rPr>
                <w:b/>
                <w:lang w:val="ru-RU"/>
              </w:rPr>
              <w:t xml:space="preserve">» </w:t>
            </w:r>
            <w:r w:rsidR="005C55C6">
              <w:rPr>
                <w:b/>
                <w:lang w:val="ru-RU"/>
              </w:rPr>
              <w:t>л</w:t>
            </w:r>
            <w:r w:rsidR="004B7A38">
              <w:rPr>
                <w:b/>
                <w:lang w:val="ru-RU"/>
              </w:rPr>
              <w:t>ютого</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 xml:space="preserve">4.2.5. Замовник та учасники не можуть ініціювати будь-які </w:t>
            </w:r>
            <w:r w:rsidRPr="00B75EDC">
              <w:lastRenderedPageBreak/>
              <w:t>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w:t>
            </w:r>
            <w:r w:rsidR="007F70BD" w:rsidRPr="00383981">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00336453" w:rsidRPr="00383981">
              <w:rPr>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w:t>
            </w:r>
            <w:r w:rsidRPr="001A0D47">
              <w:rPr>
                <w:color w:val="000000"/>
              </w:rPr>
              <w:lastRenderedPageBreak/>
              <w:t xml:space="preserve">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60BCA50E"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 xml:space="preserve">ідписання договору про закупівлю відповідно до вимог тендерної документації або укладення договору про </w:t>
            </w:r>
            <w:r w:rsidRPr="001A0D47">
              <w:rPr>
                <w:color w:val="000000"/>
              </w:rPr>
              <w:lastRenderedPageBreak/>
              <w:t>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w:t>
            </w:r>
            <w:r w:rsidRPr="00E308F6">
              <w:rPr>
                <w:color w:val="000000"/>
              </w:rPr>
              <w:lastRenderedPageBreak/>
              <w:t>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w:t>
            </w:r>
            <w:r w:rsidR="0086338D">
              <w:rPr>
                <w:color w:val="000000"/>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23912">
              <w:rPr>
                <w:color w:val="000000"/>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 xml:space="preserve">33 Закону та цим </w:t>
            </w:r>
            <w:r>
              <w:rPr>
                <w:color w:val="000000"/>
              </w:rPr>
              <w:lastRenderedPageBreak/>
              <w:t>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F2469" w14:textId="77777777" w:rsidR="00BE7C56" w:rsidRDefault="00BE7C56" w:rsidP="00207BBB">
      <w:pPr>
        <w:pStyle w:val="CharChar"/>
      </w:pPr>
      <w:r>
        <w:separator/>
      </w:r>
    </w:p>
  </w:endnote>
  <w:endnote w:type="continuationSeparator" w:id="0">
    <w:p w14:paraId="4B57A231" w14:textId="77777777" w:rsidR="00BE7C56" w:rsidRDefault="00BE7C56"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D563D">
      <w:rPr>
        <w:rStyle w:val="a3"/>
        <w:noProof/>
      </w:rPr>
      <w:t>17</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A1A5" w14:textId="77777777" w:rsidR="00BE7C56" w:rsidRDefault="00BE7C56" w:rsidP="00207BBB">
      <w:pPr>
        <w:pStyle w:val="CharChar"/>
      </w:pPr>
      <w:r>
        <w:separator/>
      </w:r>
    </w:p>
  </w:footnote>
  <w:footnote w:type="continuationSeparator" w:id="0">
    <w:p w14:paraId="7CCA8CE0" w14:textId="77777777" w:rsidR="00BE7C56" w:rsidRDefault="00BE7C56"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63D"/>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E7C56"/>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A1AE-52FF-464F-8C16-7C1BD7EC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26</Pages>
  <Words>42052</Words>
  <Characters>23970</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242</cp:revision>
  <cp:lastPrinted>2023-03-06T16:53:00Z</cp:lastPrinted>
  <dcterms:created xsi:type="dcterms:W3CDTF">2022-10-20T10:48:00Z</dcterms:created>
  <dcterms:modified xsi:type="dcterms:W3CDTF">2024-02-20T14:29:00Z</dcterms:modified>
</cp:coreProperties>
</file>