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8D4BD5" w:rsidRPr="00553923" w:rsidRDefault="008D4BD5" w:rsidP="00FE3A75">
      <w:pPr>
        <w:spacing w:line="276" w:lineRule="auto"/>
        <w:jc w:val="both"/>
        <w:rPr>
          <w:lang w:val="uk-UA"/>
        </w:rPr>
      </w:pPr>
      <w:r w:rsidRPr="00553923">
        <w:rPr>
          <w:lang w:val="uk-UA"/>
        </w:rPr>
        <w:t>1.1. Постачальник зобов'язується поставити Замовникові товар</w:t>
      </w:r>
      <w:r w:rsidR="00D13B77" w:rsidRPr="00553923">
        <w:rPr>
          <w:lang w:val="uk-UA"/>
        </w:rPr>
        <w:t>:</w:t>
      </w:r>
      <w:r w:rsidR="004D27C8">
        <w:rPr>
          <w:i/>
          <w:lang w:val="uk-UA"/>
        </w:rPr>
        <w:t xml:space="preserve"> </w:t>
      </w:r>
      <w:r w:rsidR="00FE3A75">
        <w:rPr>
          <w:rFonts w:eastAsia="Andale Sans UI"/>
          <w:b/>
          <w:kern w:val="1"/>
          <w:lang w:val="uk-UA"/>
        </w:rPr>
        <w:t>л</w:t>
      </w:r>
      <w:r w:rsidR="00FE3A75" w:rsidRPr="00FE3A75">
        <w:rPr>
          <w:rFonts w:eastAsia="Andale Sans UI"/>
          <w:b/>
          <w:kern w:val="1"/>
          <w:lang w:val="uk-UA"/>
        </w:rPr>
        <w:t>абораторні реагенти для аналізатора біохімічного автоматичного GBG GS Модель: 1700.</w:t>
      </w:r>
      <w:r w:rsidR="00FE3A75">
        <w:rPr>
          <w:rFonts w:eastAsia="Andale Sans UI"/>
          <w:b/>
          <w:kern w:val="1"/>
          <w:lang w:val="uk-UA"/>
        </w:rPr>
        <w:t xml:space="preserve"> </w:t>
      </w:r>
      <w:r w:rsidR="00FE3A75" w:rsidRPr="00FE3A75">
        <w:rPr>
          <w:rFonts w:eastAsia="Andale Sans UI"/>
          <w:kern w:val="1"/>
          <w:lang w:val="uk-UA"/>
        </w:rPr>
        <w:t>Код ДК 021:2015 - 33690000-3 Лікарські засоби різні  (33694000-1- Діагностичні засоби)</w:t>
      </w:r>
      <w:proofErr w:type="spellStart"/>
      <w:r w:rsidR="00FE3A75">
        <w:rPr>
          <w:rFonts w:eastAsia="Andale Sans UI"/>
          <w:kern w:val="1"/>
          <w:lang w:val="uk-UA"/>
        </w:rPr>
        <w:t>.</w:t>
      </w:r>
      <w:r w:rsidR="00FE3A75" w:rsidRPr="00FE3A75">
        <w:rPr>
          <w:rFonts w:eastAsia="Andale Sans UI"/>
          <w:kern w:val="1"/>
          <w:lang w:val="uk-UA"/>
        </w:rPr>
        <w:t>Код</w:t>
      </w:r>
      <w:proofErr w:type="spellEnd"/>
      <w:r w:rsidR="00FE3A75" w:rsidRPr="00FE3A75">
        <w:rPr>
          <w:rFonts w:eastAsia="Andale Sans UI"/>
          <w:kern w:val="1"/>
          <w:lang w:val="uk-UA"/>
        </w:rPr>
        <w:t xml:space="preserve"> НКМВ 024:2023 – 52923 </w:t>
      </w:r>
      <w:proofErr w:type="spellStart"/>
      <w:r w:rsidR="00FE3A75" w:rsidRPr="00FE3A75">
        <w:rPr>
          <w:rFonts w:eastAsia="Andale Sans UI"/>
          <w:kern w:val="1"/>
          <w:lang w:val="uk-UA"/>
        </w:rPr>
        <w:t>Аланінамінотрансфераза</w:t>
      </w:r>
      <w:proofErr w:type="spellEnd"/>
      <w:r w:rsidR="00FE3A75" w:rsidRPr="00FE3A75">
        <w:rPr>
          <w:rFonts w:eastAsia="Andale Sans UI"/>
          <w:kern w:val="1"/>
          <w:lang w:val="uk-UA"/>
        </w:rPr>
        <w:t xml:space="preserve"> (ALT)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набір, ферментний спектрофотометричний аналіз; 52954 Загальна </w:t>
      </w:r>
      <w:proofErr w:type="spellStart"/>
      <w:r w:rsidR="00FE3A75" w:rsidRPr="00FE3A75">
        <w:rPr>
          <w:rFonts w:eastAsia="Andale Sans UI"/>
          <w:kern w:val="1"/>
          <w:lang w:val="uk-UA"/>
        </w:rPr>
        <w:t>аспартатамінотрансфераза</w:t>
      </w:r>
      <w:proofErr w:type="spellEnd"/>
      <w:r w:rsidR="00FE3A75" w:rsidRPr="00FE3A75">
        <w:rPr>
          <w:rFonts w:eastAsia="Andale Sans UI"/>
          <w:kern w:val="1"/>
          <w:lang w:val="uk-UA"/>
        </w:rPr>
        <w:t xml:space="preserve"> (AST)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набір, ферментний спектрофотометричний аналіз; 53989 Загальний білок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реагент; 52941 Загальна амілаза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 реагент; </w:t>
      </w:r>
      <w:r w:rsidR="002445C9" w:rsidRPr="002445C9">
        <w:rPr>
          <w:rFonts w:eastAsia="Andale Sans UI"/>
          <w:kern w:val="1"/>
          <w:lang w:val="uk-UA"/>
        </w:rPr>
        <w:t>53587</w:t>
      </w:r>
      <w:bookmarkStart w:id="0" w:name="_GoBack"/>
      <w:bookmarkEnd w:id="0"/>
      <w:r w:rsidR="00FE3A75" w:rsidRPr="00FE3A75">
        <w:rPr>
          <w:rFonts w:eastAsia="Andale Sans UI"/>
          <w:kern w:val="1"/>
          <w:lang w:val="uk-UA"/>
        </w:rPr>
        <w:t xml:space="preserve"> Сечовина (</w:t>
      </w:r>
      <w:proofErr w:type="spellStart"/>
      <w:r w:rsidR="00FE3A75" w:rsidRPr="00FE3A75">
        <w:rPr>
          <w:rFonts w:eastAsia="Andale Sans UI"/>
          <w:kern w:val="1"/>
          <w:lang w:val="uk-UA"/>
        </w:rPr>
        <w:t>Urea</w:t>
      </w:r>
      <w:proofErr w:type="spellEnd"/>
      <w:r w:rsidR="00FE3A75" w:rsidRPr="00FE3A75">
        <w:rPr>
          <w:rFonts w:eastAsia="Andale Sans UI"/>
          <w:kern w:val="1"/>
          <w:lang w:val="uk-UA"/>
        </w:rPr>
        <w:t xml:space="preserve">)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набір, ферментний спектрофотометричний аналіз; 53251 </w:t>
      </w:r>
      <w:proofErr w:type="spellStart"/>
      <w:r w:rsidR="00FE3A75" w:rsidRPr="00FE3A75">
        <w:rPr>
          <w:rFonts w:eastAsia="Andale Sans UI"/>
          <w:kern w:val="1"/>
          <w:lang w:val="uk-UA"/>
        </w:rPr>
        <w:t>Креатинін</w:t>
      </w:r>
      <w:proofErr w:type="spellEnd"/>
      <w:r w:rsidR="00FE3A75" w:rsidRPr="00FE3A75">
        <w:rPr>
          <w:rFonts w:eastAsia="Andale Sans UI"/>
          <w:kern w:val="1"/>
          <w:lang w:val="uk-UA"/>
        </w:rPr>
        <w:t xml:space="preserve">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набір, спектрофотометричний аналіз; 52928 Загальна лужна фосфатаза (ALP)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 набір, ферментний спектрофотометричний аналіз; 53231 Загальний білірубін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 реагент; 53232 </w:t>
      </w:r>
      <w:proofErr w:type="spellStart"/>
      <w:r w:rsidR="00FE3A75" w:rsidRPr="00FE3A75">
        <w:rPr>
          <w:rFonts w:eastAsia="Andale Sans UI"/>
          <w:kern w:val="1"/>
          <w:lang w:val="uk-UA"/>
        </w:rPr>
        <w:t>Кон'югований</w:t>
      </w:r>
      <w:proofErr w:type="spellEnd"/>
      <w:r w:rsidR="00FE3A75" w:rsidRPr="00FE3A75">
        <w:rPr>
          <w:rFonts w:eastAsia="Andale Sans UI"/>
          <w:kern w:val="1"/>
          <w:lang w:val="uk-UA"/>
        </w:rPr>
        <w:t xml:space="preserve"> (прямий, зв'язаний) білірубін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 набір, ферментний спектрофотометричний аналіз; 53597 Альбумін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набір, ферментний спектрофотометричний аналіз; 53359 Загальний холестерин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набір, ферментний спектрофотометричний аналіз; 53583 Сечова кислота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 набір, ферментний спектрофотометричний аналіз; 46795 - Магній (Mg2 +)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набір, спектрофотометричний аналіз; 45789 - Кальцій (Ca2 +)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набір, спектрофотометричний аналіз; 53460 </w:t>
      </w:r>
      <w:proofErr w:type="spellStart"/>
      <w:r w:rsidR="00FE3A75" w:rsidRPr="00FE3A75">
        <w:rPr>
          <w:rFonts w:eastAsia="Andale Sans UI"/>
          <w:kern w:val="1"/>
          <w:lang w:val="uk-UA"/>
        </w:rPr>
        <w:t>Тригліцериди</w:t>
      </w:r>
      <w:proofErr w:type="spellEnd"/>
      <w:r w:rsidR="00FE3A75" w:rsidRPr="00FE3A75">
        <w:rPr>
          <w:rFonts w:eastAsia="Andale Sans UI"/>
          <w:kern w:val="1"/>
          <w:lang w:val="uk-UA"/>
        </w:rPr>
        <w:t xml:space="preserve">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),набір, ферментний спектрофотометричний аналіз; 47868 Множинні </w:t>
      </w:r>
      <w:proofErr w:type="spellStart"/>
      <w:r w:rsidR="00FE3A75" w:rsidRPr="00FE3A75">
        <w:rPr>
          <w:rFonts w:eastAsia="Andale Sans UI"/>
          <w:kern w:val="1"/>
          <w:lang w:val="uk-UA"/>
        </w:rPr>
        <w:t>аналіти</w:t>
      </w:r>
      <w:proofErr w:type="spellEnd"/>
      <w:r w:rsidR="00FE3A75" w:rsidRPr="00FE3A75">
        <w:rPr>
          <w:rFonts w:eastAsia="Andale Sans UI"/>
          <w:kern w:val="1"/>
          <w:lang w:val="uk-UA"/>
        </w:rPr>
        <w:t xml:space="preserve"> клінічної хімії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калібратор</w:t>
      </w:r>
      <w:proofErr w:type="spellEnd"/>
      <w:r w:rsidR="00FE3A75" w:rsidRPr="00FE3A75">
        <w:rPr>
          <w:rFonts w:eastAsia="Andale Sans UI"/>
          <w:kern w:val="1"/>
          <w:lang w:val="uk-UA"/>
        </w:rPr>
        <w:t xml:space="preserve">; 47869 Множинні </w:t>
      </w:r>
      <w:proofErr w:type="spellStart"/>
      <w:r w:rsidR="00FE3A75" w:rsidRPr="00FE3A75">
        <w:rPr>
          <w:rFonts w:eastAsia="Andale Sans UI"/>
          <w:kern w:val="1"/>
          <w:lang w:val="uk-UA"/>
        </w:rPr>
        <w:t>аналіти</w:t>
      </w:r>
      <w:proofErr w:type="spellEnd"/>
      <w:r w:rsidR="00FE3A75" w:rsidRPr="00FE3A75">
        <w:rPr>
          <w:rFonts w:eastAsia="Andale Sans UI"/>
          <w:kern w:val="1"/>
          <w:lang w:val="uk-UA"/>
        </w:rPr>
        <w:t xml:space="preserve"> клінічної хімії IVD (діагностика </w:t>
      </w:r>
      <w:proofErr w:type="spellStart"/>
      <w:r w:rsidR="00FE3A75" w:rsidRPr="00FE3A75">
        <w:rPr>
          <w:rFonts w:eastAsia="Andale Sans UI"/>
          <w:kern w:val="1"/>
          <w:lang w:val="uk-UA"/>
        </w:rPr>
        <w:t>in</w:t>
      </w:r>
      <w:proofErr w:type="spellEnd"/>
      <w:r w:rsidR="00FE3A75" w:rsidRPr="00FE3A75">
        <w:rPr>
          <w:rFonts w:eastAsia="Andale Sans UI"/>
          <w:kern w:val="1"/>
          <w:lang w:val="uk-UA"/>
        </w:rPr>
        <w:t xml:space="preserve"> </w:t>
      </w:r>
      <w:proofErr w:type="spellStart"/>
      <w:r w:rsidR="00FE3A75" w:rsidRPr="00FE3A75">
        <w:rPr>
          <w:rFonts w:eastAsia="Andale Sans UI"/>
          <w:kern w:val="1"/>
          <w:lang w:val="uk-UA"/>
        </w:rPr>
        <w:t>vitro</w:t>
      </w:r>
      <w:proofErr w:type="spellEnd"/>
      <w:r w:rsidR="00FE3A75" w:rsidRPr="00FE3A75">
        <w:rPr>
          <w:rFonts w:eastAsia="Andale Sans UI"/>
          <w:kern w:val="1"/>
          <w:lang w:val="uk-UA"/>
        </w:rPr>
        <w:t>), контрольний матеріал</w:t>
      </w:r>
      <w:r w:rsidRPr="00553923">
        <w:rPr>
          <w:lang w:val="uk-UA"/>
        </w:rPr>
        <w:t>, а Замовник - прийняти і оплатити товар.</w:t>
      </w:r>
    </w:p>
    <w:p w:rsidR="008D4BD5" w:rsidRPr="00553923" w:rsidRDefault="008D4BD5" w:rsidP="00D13B77">
      <w:pPr>
        <w:widowControl w:val="0"/>
        <w:autoSpaceDE w:val="0"/>
        <w:autoSpaceDN w:val="0"/>
        <w:adjustRightInd w:val="0"/>
        <w:jc w:val="both"/>
        <w:rPr>
          <w:lang w:val="uk-UA"/>
        </w:rPr>
      </w:pPr>
      <w:r w:rsidRPr="00553923">
        <w:rPr>
          <w:lang w:val="uk-UA"/>
        </w:rPr>
        <w:t xml:space="preserve">1.2. Найменування, </w:t>
      </w:r>
      <w:bookmarkStart w:id="1" w:name="31"/>
      <w:bookmarkEnd w:id="1"/>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w:t>
      </w:r>
      <w:r w:rsidRPr="00553923">
        <w:rPr>
          <w:lang w:val="uk-UA"/>
        </w:rPr>
        <w:lastRenderedPageBreak/>
        <w:t xml:space="preserve">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2" w:name="n276"/>
      <w:bookmarkStart w:id="3" w:name="n277"/>
      <w:bookmarkStart w:id="4" w:name="n688"/>
      <w:bookmarkStart w:id="5" w:name="n278"/>
      <w:bookmarkStart w:id="6" w:name="n279"/>
      <w:bookmarkStart w:id="7" w:name="n280"/>
      <w:bookmarkStart w:id="8" w:name="n689"/>
      <w:bookmarkEnd w:id="2"/>
      <w:bookmarkEnd w:id="3"/>
      <w:bookmarkEnd w:id="4"/>
      <w:bookmarkEnd w:id="5"/>
      <w:bookmarkEnd w:id="6"/>
      <w:bookmarkEnd w:id="7"/>
      <w:bookmarkEnd w:id="8"/>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проводяться в національній валюті України.</w:t>
      </w:r>
    </w:p>
    <w:p w:rsidR="008D4BD5" w:rsidRPr="00553923" w:rsidRDefault="008D4BD5" w:rsidP="00FC625B">
      <w:pPr>
        <w:jc w:val="both"/>
        <w:rPr>
          <w:lang w:val="uk-UA"/>
        </w:rPr>
      </w:pPr>
      <w:r w:rsidRPr="00553923">
        <w:rPr>
          <w:lang w:val="uk-UA"/>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proofErr w:type="spellStart"/>
      <w:r w:rsidR="00C57866" w:rsidRPr="00553923">
        <w:rPr>
          <w:lang w:val="uk-UA"/>
        </w:rPr>
        <w:t>передбаченом</w:t>
      </w:r>
      <w:proofErr w:type="spellEnd"/>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 xml:space="preserve">У випадку виникнення спорів щодо якості товару, товар передається на експертизу </w:t>
      </w:r>
      <w:r w:rsidR="008D4BD5" w:rsidRPr="00553923">
        <w:rPr>
          <w:lang w:val="uk-UA"/>
        </w:rPr>
        <w:lastRenderedPageBreak/>
        <w:t>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Pr="00553923">
        <w:rPr>
          <w:iCs/>
          <w:lang w:val="uk-UA"/>
        </w:rPr>
        <w:t>Покупця</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до </w:t>
      </w:r>
      <w:r w:rsidR="004D27C8">
        <w:rPr>
          <w:iCs/>
          <w:lang w:val="uk-UA"/>
        </w:rPr>
        <w:t>31</w:t>
      </w:r>
      <w:r w:rsidRPr="000F5C46">
        <w:rPr>
          <w:iCs/>
          <w:lang w:val="uk-UA"/>
        </w:rPr>
        <w:t xml:space="preserve"> </w:t>
      </w:r>
      <w:r w:rsidR="00260F03">
        <w:rPr>
          <w:iCs/>
          <w:lang w:val="uk-UA"/>
        </w:rPr>
        <w:t>грудня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9" w:name="83"/>
      <w:bookmarkEnd w:id="9"/>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84"/>
      <w:bookmarkEnd w:id="10"/>
      <w:r w:rsidRPr="00553923">
        <w:rPr>
          <w:lang w:val="uk-UA"/>
        </w:rPr>
        <w:t>7.3</w:t>
      </w:r>
      <w:bookmarkStart w:id="11" w:name="86"/>
      <w:bookmarkEnd w:id="11"/>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lastRenderedPageBreak/>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Pr="00553923"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2" w:name="n511"/>
      <w:bookmarkEnd w:id="12"/>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3" w:name="n512"/>
      <w:bookmarkEnd w:id="13"/>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4" w:name="n513"/>
      <w:bookmarkEnd w:id="14"/>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5" w:name="n514"/>
      <w:bookmarkEnd w:id="15"/>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6" w:name="n515"/>
      <w:bookmarkEnd w:id="16"/>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7" w:name="n516"/>
      <w:bookmarkEnd w:id="17"/>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w:t>
      </w:r>
      <w:r w:rsidRPr="000F5C46">
        <w:rPr>
          <w:bCs/>
          <w:lang w:val="uk-UA"/>
        </w:rPr>
        <w:lastRenderedPageBreak/>
        <w:t>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F6147" w:rsidRPr="00553923" w:rsidRDefault="00FF6147" w:rsidP="00AD3DB8">
      <w:pPr>
        <w:rPr>
          <w:rFonts w:ascii="Arial" w:hAnsi="Arial" w:cs="Arial"/>
          <w:sz w:val="23"/>
          <w:szCs w:val="23"/>
          <w:lang w:val="uk-UA"/>
        </w:rPr>
      </w:pPr>
    </w:p>
    <w:p w:rsidR="00FF6147" w:rsidRDefault="00FF6147"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A02AE" w:rsidRPr="00553923" w:rsidRDefault="00260F03" w:rsidP="00FA02AE">
      <w:pPr>
        <w:jc w:val="right"/>
        <w:rPr>
          <w:lang w:val="uk-UA"/>
        </w:rPr>
      </w:pPr>
      <w:r>
        <w:rPr>
          <w:lang w:val="uk-UA"/>
        </w:rPr>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31F33"/>
    <w:rsid w:val="002445C9"/>
    <w:rsid w:val="00260F03"/>
    <w:rsid w:val="002C6035"/>
    <w:rsid w:val="002F2624"/>
    <w:rsid w:val="003574EA"/>
    <w:rsid w:val="003975D3"/>
    <w:rsid w:val="00400D2B"/>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82274"/>
    <w:rsid w:val="008D4BD5"/>
    <w:rsid w:val="008D64F4"/>
    <w:rsid w:val="008E2F99"/>
    <w:rsid w:val="008F1A75"/>
    <w:rsid w:val="008F4AA3"/>
    <w:rsid w:val="00900FD7"/>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F62D6"/>
    <w:rsid w:val="00C46175"/>
    <w:rsid w:val="00C57866"/>
    <w:rsid w:val="00C72BD9"/>
    <w:rsid w:val="00CB596B"/>
    <w:rsid w:val="00CC6424"/>
    <w:rsid w:val="00D13B77"/>
    <w:rsid w:val="00D33CE5"/>
    <w:rsid w:val="00D94592"/>
    <w:rsid w:val="00D96B72"/>
    <w:rsid w:val="00D97E20"/>
    <w:rsid w:val="00DD5EB7"/>
    <w:rsid w:val="00E50C9E"/>
    <w:rsid w:val="00E56F3D"/>
    <w:rsid w:val="00E82F55"/>
    <w:rsid w:val="00EB2B3F"/>
    <w:rsid w:val="00EB698A"/>
    <w:rsid w:val="00F15820"/>
    <w:rsid w:val="00F72EA1"/>
    <w:rsid w:val="00F842C2"/>
    <w:rsid w:val="00FA02AE"/>
    <w:rsid w:val="00FB0A43"/>
    <w:rsid w:val="00FC625B"/>
    <w:rsid w:val="00FE3A75"/>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10943</Words>
  <Characters>6238</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10</cp:revision>
  <dcterms:created xsi:type="dcterms:W3CDTF">2023-11-09T14:23:00Z</dcterms:created>
  <dcterms:modified xsi:type="dcterms:W3CDTF">2024-02-16T11:44:00Z</dcterms:modified>
</cp:coreProperties>
</file>