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D4" w:rsidRDefault="00BF3CD4" w:rsidP="00BF3CD4">
      <w:pPr>
        <w:jc w:val="right"/>
        <w:rPr>
          <w:b/>
          <w:bCs/>
        </w:rPr>
      </w:pPr>
      <w:r w:rsidRPr="002626D5">
        <w:rPr>
          <w:b/>
          <w:bCs/>
        </w:rPr>
        <w:t xml:space="preserve">Додаток № 3 </w:t>
      </w:r>
    </w:p>
    <w:p w:rsidR="00BF3CD4" w:rsidRPr="00060B78" w:rsidRDefault="00BF3CD4" w:rsidP="00BF3CD4">
      <w:pPr>
        <w:jc w:val="right"/>
        <w:rPr>
          <w:bCs/>
          <w:sz w:val="22"/>
          <w:szCs w:val="22"/>
        </w:rPr>
      </w:pPr>
      <w:r w:rsidRPr="00060B78">
        <w:rPr>
          <w:bCs/>
          <w:sz w:val="22"/>
          <w:szCs w:val="22"/>
        </w:rPr>
        <w:t>до тендерної документації</w:t>
      </w:r>
    </w:p>
    <w:p w:rsidR="00060B78" w:rsidRDefault="00060B78" w:rsidP="00BF3CD4">
      <w:pPr>
        <w:jc w:val="right"/>
        <w:rPr>
          <w:b/>
          <w:bCs/>
        </w:rPr>
      </w:pPr>
    </w:p>
    <w:p w:rsidR="00BF3CD4" w:rsidRPr="002626D5" w:rsidRDefault="00060B78" w:rsidP="00060B78">
      <w:pPr>
        <w:ind w:left="-567"/>
        <w:jc w:val="right"/>
        <w:rPr>
          <w:b/>
          <w:bCs/>
        </w:rPr>
      </w:pPr>
      <w:r>
        <w:rPr>
          <w:b/>
          <w:bCs/>
        </w:rPr>
        <w:t>ЛОТ-3</w:t>
      </w:r>
    </w:p>
    <w:p w:rsidR="00BF3CD4" w:rsidRDefault="00BF3CD4" w:rsidP="00BF3CD4">
      <w:pPr>
        <w:spacing w:after="120"/>
        <w:jc w:val="center"/>
        <w:rPr>
          <w:b/>
          <w:bCs/>
          <w:i/>
          <w:iCs/>
          <w:sz w:val="26"/>
          <w:szCs w:val="26"/>
          <w:lang w:val="ru-RU"/>
        </w:rPr>
      </w:pPr>
      <w:r w:rsidRPr="00335706">
        <w:rPr>
          <w:b/>
          <w:bCs/>
          <w:sz w:val="26"/>
          <w:szCs w:val="26"/>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35706">
        <w:rPr>
          <w:b/>
          <w:bCs/>
          <w:i/>
          <w:iCs/>
          <w:sz w:val="26"/>
          <w:szCs w:val="26"/>
        </w:rPr>
        <w:t xml:space="preserve"> </w:t>
      </w:r>
    </w:p>
    <w:p w:rsidR="00BF3CD4" w:rsidRPr="00AE5833" w:rsidRDefault="00B63C8A" w:rsidP="00B63C8A">
      <w:pPr>
        <w:spacing w:line="240" w:lineRule="atLeast"/>
        <w:jc w:val="center"/>
        <w:rPr>
          <w:b/>
          <w:sz w:val="22"/>
          <w:szCs w:val="22"/>
        </w:rPr>
      </w:pPr>
      <w:bookmarkStart w:id="0" w:name="_Hlk64899952"/>
      <w:r w:rsidRPr="00B63C8A">
        <w:rPr>
          <w:b/>
        </w:rPr>
        <w:t xml:space="preserve">Проведення гістологічного дослідження операційного та </w:t>
      </w:r>
      <w:proofErr w:type="spellStart"/>
      <w:r w:rsidRPr="00B63C8A">
        <w:rPr>
          <w:b/>
        </w:rPr>
        <w:t>біопсійного</w:t>
      </w:r>
      <w:proofErr w:type="spellEnd"/>
      <w:r w:rsidRPr="00B63C8A">
        <w:rPr>
          <w:b/>
        </w:rPr>
        <w:t xml:space="preserve"> матеріалу І-IV категорії складності; </w:t>
      </w:r>
      <w:r w:rsidR="00BF3CD4" w:rsidRPr="00B63C8A">
        <w:rPr>
          <w:b/>
        </w:rPr>
        <w:t>код</w:t>
      </w:r>
      <w:r w:rsidR="00BF3CD4" w:rsidRPr="00AE5833">
        <w:rPr>
          <w:b/>
        </w:rPr>
        <w:t xml:space="preserve"> </w:t>
      </w:r>
      <w:proofErr w:type="spellStart"/>
      <w:r w:rsidR="00BF3CD4" w:rsidRPr="00AE5833">
        <w:rPr>
          <w:b/>
        </w:rPr>
        <w:t>ДК</w:t>
      </w:r>
      <w:proofErr w:type="spellEnd"/>
      <w:r w:rsidR="00BF3CD4" w:rsidRPr="00AE5833">
        <w:rPr>
          <w:b/>
        </w:rPr>
        <w:t xml:space="preserve"> 021:2015</w:t>
      </w:r>
      <w:r w:rsidR="00981365">
        <w:rPr>
          <w:b/>
        </w:rPr>
        <w:t xml:space="preserve">- </w:t>
      </w:r>
      <w:r w:rsidR="00BF3CD4" w:rsidRPr="00AE5833">
        <w:rPr>
          <w:b/>
        </w:rPr>
        <w:t>85110000-3</w:t>
      </w:r>
      <w:r w:rsidR="00981365">
        <w:rPr>
          <w:b/>
        </w:rPr>
        <w:t>:</w:t>
      </w:r>
      <w:r w:rsidR="00BF3CD4" w:rsidRPr="00AE5833">
        <w:rPr>
          <w:b/>
        </w:rPr>
        <w:t xml:space="preserve"> Послуги лікувальних закладів та супутні послуги</w:t>
      </w:r>
      <w:r>
        <w:rPr>
          <w:b/>
        </w:rPr>
        <w:t>.</w:t>
      </w:r>
      <w:r w:rsidR="00BF3CD4" w:rsidRPr="00AE5833">
        <w:rPr>
          <w:b/>
        </w:rPr>
        <w:t xml:space="preserve"> </w:t>
      </w:r>
      <w:bookmarkEnd w:id="0"/>
    </w:p>
    <w:p w:rsidR="00EC3242" w:rsidRDefault="00EC3242" w:rsidP="00BF3CD4">
      <w:pPr>
        <w:spacing w:after="120"/>
        <w:contextualSpacing/>
        <w:jc w:val="center"/>
        <w:rPr>
          <w:b/>
          <w:bCs/>
          <w:lang w:val="ru-RU"/>
        </w:rPr>
      </w:pPr>
    </w:p>
    <w:p w:rsidR="00BF3CD4" w:rsidRDefault="007B57E1" w:rsidP="00BF3CD4">
      <w:pPr>
        <w:spacing w:after="120"/>
        <w:contextualSpacing/>
        <w:jc w:val="center"/>
        <w:rPr>
          <w:b/>
          <w:bCs/>
        </w:rPr>
      </w:pPr>
      <w:r>
        <w:rPr>
          <w:b/>
          <w:bCs/>
          <w:lang w:val="ru-RU"/>
        </w:rPr>
        <w:t>1</w:t>
      </w:r>
      <w:r w:rsidR="00BF3CD4">
        <w:rPr>
          <w:b/>
          <w:bCs/>
        </w:rPr>
        <w:t>. Загальні положення</w:t>
      </w:r>
    </w:p>
    <w:p w:rsidR="00BF3CD4" w:rsidRPr="009175B0" w:rsidRDefault="00BF3CD4" w:rsidP="00BF3CD4">
      <w:pPr>
        <w:spacing w:after="120"/>
        <w:contextualSpacing/>
        <w:jc w:val="center"/>
        <w:rPr>
          <w:b/>
          <w:bCs/>
          <w:sz w:val="16"/>
          <w:szCs w:val="16"/>
        </w:rPr>
      </w:pPr>
    </w:p>
    <w:p w:rsidR="00BF3CD4" w:rsidRPr="00DA478A" w:rsidRDefault="00BF3CD4" w:rsidP="00BF3CD4">
      <w:pPr>
        <w:numPr>
          <w:ilvl w:val="0"/>
          <w:numId w:val="1"/>
        </w:numPr>
        <w:tabs>
          <w:tab w:val="left" w:pos="567"/>
        </w:tabs>
        <w:suppressAutoHyphens w:val="0"/>
        <w:ind w:left="0"/>
        <w:jc w:val="both"/>
        <w:rPr>
          <w:sz w:val="23"/>
          <w:szCs w:val="23"/>
        </w:rPr>
      </w:pPr>
      <w:r w:rsidRPr="00DA478A">
        <w:rPr>
          <w:sz w:val="23"/>
          <w:szCs w:val="23"/>
        </w:rPr>
        <w:t>Послуги з проведення лабораторних досліджень повинні надаватися у порядку, встановленому законодавством України, із дотриманням вимог підзаконних актів, стандартів, та інших документів, що регламентують процес лабораторних досліджень.</w:t>
      </w:r>
    </w:p>
    <w:p w:rsidR="00BF3CD4" w:rsidRPr="00DA478A" w:rsidRDefault="00BF3CD4" w:rsidP="00BF3CD4">
      <w:pPr>
        <w:numPr>
          <w:ilvl w:val="0"/>
          <w:numId w:val="1"/>
        </w:numPr>
        <w:tabs>
          <w:tab w:val="left" w:pos="567"/>
        </w:tabs>
        <w:suppressAutoHyphens w:val="0"/>
        <w:ind w:left="0"/>
        <w:jc w:val="both"/>
        <w:rPr>
          <w:sz w:val="23"/>
          <w:szCs w:val="23"/>
        </w:rPr>
      </w:pPr>
      <w:r w:rsidRPr="00DA478A">
        <w:rPr>
          <w:sz w:val="23"/>
          <w:szCs w:val="23"/>
        </w:rPr>
        <w:t xml:space="preserve">Інформація про Учасника повинна міститесь в переліку (ліцензійному реєстрі Міністерства охорони здоров’я Украйни) суб’єктів господарювання, які отримали ліцензію на провадження господарської діяльності з медичної практики, який розміщено на офіційному </w:t>
      </w:r>
      <w:proofErr w:type="spellStart"/>
      <w:r w:rsidRPr="00DA478A">
        <w:rPr>
          <w:sz w:val="23"/>
          <w:szCs w:val="23"/>
        </w:rPr>
        <w:t>веб-сайті</w:t>
      </w:r>
      <w:proofErr w:type="spellEnd"/>
      <w:r w:rsidRPr="00DA478A">
        <w:rPr>
          <w:sz w:val="23"/>
          <w:szCs w:val="23"/>
        </w:rPr>
        <w:t xml:space="preserve"> Міністерства охорони здоров'я України (МОЗ України) (</w:t>
      </w:r>
      <w:r w:rsidRPr="00DA478A">
        <w:rPr>
          <w:i/>
          <w:sz w:val="23"/>
          <w:szCs w:val="23"/>
        </w:rPr>
        <w:t>на підтвердження надати копію ліцензії</w:t>
      </w:r>
      <w:r w:rsidRPr="00DA478A">
        <w:rPr>
          <w:sz w:val="23"/>
          <w:szCs w:val="23"/>
        </w:rPr>
        <w:t>).</w:t>
      </w:r>
    </w:p>
    <w:p w:rsidR="00BF3CD4" w:rsidRPr="00DA478A" w:rsidRDefault="00BF3CD4" w:rsidP="00BF3CD4">
      <w:pPr>
        <w:numPr>
          <w:ilvl w:val="0"/>
          <w:numId w:val="1"/>
        </w:numPr>
        <w:tabs>
          <w:tab w:val="left" w:pos="567"/>
        </w:tabs>
        <w:suppressAutoHyphens w:val="0"/>
        <w:ind w:left="0" w:hanging="357"/>
        <w:jc w:val="both"/>
        <w:rPr>
          <w:sz w:val="23"/>
          <w:szCs w:val="23"/>
        </w:rPr>
      </w:pPr>
      <w:r w:rsidRPr="00DA478A">
        <w:rPr>
          <w:sz w:val="23"/>
          <w:szCs w:val="23"/>
        </w:rPr>
        <w:t xml:space="preserve">Лабораторні дослідження повинні виконуватися кваліфікованим персоналом Учасника на обладнанні, яке відповідає нормам чинного законодавства України, з використанням реактивів, реагентів. витратних матеріалів тощо, які відповідають вимогам технічного регламенту щодо медичних виробів та діючим стандартам якості та дозволені у застосування в Україні </w:t>
      </w:r>
      <w:r w:rsidRPr="00DA478A">
        <w:rPr>
          <w:i/>
          <w:sz w:val="23"/>
          <w:szCs w:val="23"/>
        </w:rPr>
        <w:t>(надати лист в довільній формі</w:t>
      </w:r>
      <w:r w:rsidRPr="00DA478A">
        <w:rPr>
          <w:sz w:val="23"/>
          <w:szCs w:val="23"/>
        </w:rPr>
        <w:t>).</w:t>
      </w:r>
    </w:p>
    <w:p w:rsidR="00BF3CD4" w:rsidRPr="00DA478A" w:rsidRDefault="00BF3CD4" w:rsidP="00BF3CD4">
      <w:pPr>
        <w:numPr>
          <w:ilvl w:val="0"/>
          <w:numId w:val="1"/>
        </w:numPr>
        <w:tabs>
          <w:tab w:val="left" w:pos="567"/>
        </w:tabs>
        <w:suppressAutoHyphens w:val="0"/>
        <w:ind w:left="0"/>
        <w:jc w:val="both"/>
        <w:rPr>
          <w:sz w:val="23"/>
          <w:szCs w:val="23"/>
        </w:rPr>
      </w:pPr>
      <w:r w:rsidRPr="00DA478A">
        <w:rPr>
          <w:sz w:val="23"/>
          <w:szCs w:val="23"/>
        </w:rPr>
        <w:t>Лабораторія має проводити повірку засобів випробувальної техніки, атестацію випробувального обладнання (</w:t>
      </w:r>
      <w:r w:rsidRPr="00DA478A">
        <w:rPr>
          <w:i/>
          <w:sz w:val="23"/>
          <w:szCs w:val="23"/>
        </w:rPr>
        <w:t>на підтвердження надати довідку в довільній формі та завірені належним чином копії відповідних документів щодо повірки</w:t>
      </w:r>
      <w:r w:rsidRPr="00DA478A">
        <w:rPr>
          <w:sz w:val="23"/>
          <w:szCs w:val="23"/>
        </w:rPr>
        <w:t>). Надані документи повинні бути чинними до кінцевого терміну надання послуг.</w:t>
      </w:r>
    </w:p>
    <w:p w:rsidR="00BF3CD4" w:rsidRPr="00DA478A" w:rsidRDefault="00BF3CD4" w:rsidP="00BF3CD4">
      <w:pPr>
        <w:pStyle w:val="a3"/>
        <w:numPr>
          <w:ilvl w:val="0"/>
          <w:numId w:val="1"/>
        </w:numPr>
        <w:tabs>
          <w:tab w:val="left" w:pos="567"/>
        </w:tabs>
        <w:suppressAutoHyphens w:val="0"/>
        <w:spacing w:after="0" w:line="240" w:lineRule="auto"/>
        <w:ind w:left="0"/>
        <w:contextualSpacing/>
        <w:jc w:val="both"/>
        <w:rPr>
          <w:rFonts w:ascii="Times New Roman" w:hAnsi="Times New Roman"/>
          <w:sz w:val="23"/>
          <w:szCs w:val="23"/>
        </w:rPr>
      </w:pPr>
      <w:r w:rsidRPr="00DA478A">
        <w:rPr>
          <w:rFonts w:ascii="Times New Roman" w:hAnsi="Times New Roman"/>
          <w:sz w:val="23"/>
          <w:szCs w:val="23"/>
        </w:rPr>
        <w:t>Учасник повинен забезпечити розташування пункту проведення відповідних лабораторних досліджень матеріалу у межах  м. Одеса .</w:t>
      </w:r>
    </w:p>
    <w:p w:rsidR="00BF3CD4" w:rsidRPr="00DA478A" w:rsidRDefault="00BF3CD4" w:rsidP="00BF3CD4">
      <w:pPr>
        <w:pStyle w:val="a3"/>
        <w:numPr>
          <w:ilvl w:val="0"/>
          <w:numId w:val="1"/>
        </w:numPr>
        <w:tabs>
          <w:tab w:val="left" w:pos="567"/>
        </w:tabs>
        <w:suppressAutoHyphens w:val="0"/>
        <w:spacing w:after="0" w:line="240" w:lineRule="auto"/>
        <w:ind w:left="0"/>
        <w:contextualSpacing/>
        <w:jc w:val="both"/>
        <w:rPr>
          <w:rFonts w:ascii="Times New Roman" w:hAnsi="Times New Roman"/>
          <w:sz w:val="23"/>
          <w:szCs w:val="23"/>
        </w:rPr>
      </w:pPr>
      <w:r w:rsidRPr="00DA478A">
        <w:rPr>
          <w:rFonts w:ascii="Times New Roman" w:hAnsi="Times New Roman"/>
          <w:sz w:val="23"/>
          <w:szCs w:val="23"/>
        </w:rPr>
        <w:t xml:space="preserve">Учасник повинен забезпечити надання Замовнику результатів лабораторних досліджень в паперовому вигляді </w:t>
      </w:r>
      <w:r w:rsidRPr="00DA478A">
        <w:rPr>
          <w:rFonts w:ascii="Times New Roman" w:hAnsi="Times New Roman"/>
          <w:bCs/>
          <w:sz w:val="23"/>
          <w:szCs w:val="23"/>
          <w:lang w:eastAsia="uk-UA"/>
        </w:rPr>
        <w:t xml:space="preserve">на бланках відповідної форми, які затверджені чинним законодавством України, не пізніше ніж через 24 години з моменту доставки біологічного матеріалу у пацієнтів у разі проведення термінових досліджень, та не пізніше ніж через 3 (три) – 5 (п’ять) робочих днів з моменту доставки біологічного матеріалу пацієнтів, у разі проведення не термінових досліджень </w:t>
      </w:r>
      <w:r w:rsidRPr="00DA478A">
        <w:rPr>
          <w:rFonts w:ascii="Times New Roman" w:hAnsi="Times New Roman"/>
          <w:bCs/>
          <w:i/>
          <w:sz w:val="23"/>
          <w:szCs w:val="23"/>
          <w:lang w:eastAsia="uk-UA"/>
        </w:rPr>
        <w:t>(надати копію гарантійного листа)</w:t>
      </w:r>
      <w:r w:rsidRPr="00DA478A">
        <w:rPr>
          <w:rFonts w:ascii="Times New Roman" w:hAnsi="Times New Roman"/>
          <w:bCs/>
          <w:sz w:val="23"/>
          <w:szCs w:val="23"/>
          <w:lang w:eastAsia="uk-UA"/>
        </w:rPr>
        <w:t>.</w:t>
      </w:r>
    </w:p>
    <w:p w:rsidR="00BF3CD4" w:rsidRPr="00DA478A" w:rsidRDefault="00BF3CD4" w:rsidP="00BF3CD4">
      <w:pPr>
        <w:pStyle w:val="a3"/>
        <w:numPr>
          <w:ilvl w:val="0"/>
          <w:numId w:val="1"/>
        </w:numPr>
        <w:tabs>
          <w:tab w:val="left" w:pos="567"/>
        </w:tabs>
        <w:suppressAutoHyphens w:val="0"/>
        <w:spacing w:after="0" w:line="240" w:lineRule="auto"/>
        <w:ind w:left="0"/>
        <w:contextualSpacing/>
        <w:jc w:val="both"/>
        <w:rPr>
          <w:rFonts w:ascii="Times New Roman" w:hAnsi="Times New Roman"/>
          <w:sz w:val="23"/>
          <w:szCs w:val="23"/>
        </w:rPr>
      </w:pPr>
      <w:r w:rsidRPr="00DA478A">
        <w:rPr>
          <w:rFonts w:ascii="Times New Roman" w:hAnsi="Times New Roman"/>
          <w:bCs/>
          <w:sz w:val="23"/>
          <w:szCs w:val="23"/>
          <w:lang w:eastAsia="uk-UA"/>
        </w:rPr>
        <w:t>Якість наданих послуг відповідає чинним нормативним актам (для даного виду послуг) на території України, та вимогам, які звичайно пред’являються до послуг даного виду</w:t>
      </w:r>
      <w:r w:rsidRPr="00DA478A">
        <w:rPr>
          <w:rFonts w:ascii="Times New Roman" w:hAnsi="Times New Roman"/>
          <w:i/>
          <w:sz w:val="23"/>
          <w:szCs w:val="23"/>
        </w:rPr>
        <w:t xml:space="preserve"> (на підтвердження надати довідку у довільній формі</w:t>
      </w:r>
      <w:r w:rsidRPr="00DA478A">
        <w:rPr>
          <w:rFonts w:ascii="Times New Roman" w:hAnsi="Times New Roman"/>
          <w:sz w:val="23"/>
          <w:szCs w:val="23"/>
        </w:rPr>
        <w:t>).</w:t>
      </w:r>
    </w:p>
    <w:p w:rsidR="00BF3CD4" w:rsidRPr="00DA478A" w:rsidRDefault="00BF3CD4" w:rsidP="00BF3CD4">
      <w:pPr>
        <w:numPr>
          <w:ilvl w:val="0"/>
          <w:numId w:val="1"/>
        </w:numPr>
        <w:tabs>
          <w:tab w:val="left" w:pos="567"/>
        </w:tabs>
        <w:suppressAutoHyphens w:val="0"/>
        <w:ind w:left="0"/>
        <w:jc w:val="both"/>
        <w:rPr>
          <w:sz w:val="23"/>
          <w:szCs w:val="23"/>
        </w:rPr>
      </w:pPr>
      <w:r w:rsidRPr="00DA478A">
        <w:rPr>
          <w:sz w:val="23"/>
          <w:szCs w:val="23"/>
        </w:rPr>
        <w:t xml:space="preserve">Вартість послуг повинна включати </w:t>
      </w:r>
      <w:r w:rsidRPr="00DA478A">
        <w:rPr>
          <w:spacing w:val="1"/>
          <w:sz w:val="23"/>
          <w:szCs w:val="23"/>
        </w:rPr>
        <w:t xml:space="preserve">всі витрати, пов’язані з </w:t>
      </w:r>
      <w:r w:rsidRPr="00DA478A">
        <w:rPr>
          <w:sz w:val="23"/>
          <w:szCs w:val="23"/>
        </w:rPr>
        <w:t>предметом закупівлі, сплати податків, обов’язкових платежів, страхування, витрати пов’язані з отриманням необхідних дозволів та</w:t>
      </w:r>
      <w:r w:rsidRPr="00DA478A">
        <w:rPr>
          <w:spacing w:val="1"/>
          <w:sz w:val="23"/>
          <w:szCs w:val="23"/>
        </w:rPr>
        <w:t xml:space="preserve"> ліцензій тощо </w:t>
      </w:r>
      <w:r w:rsidRPr="00DA478A">
        <w:rPr>
          <w:sz w:val="23"/>
          <w:szCs w:val="23"/>
        </w:rPr>
        <w:t xml:space="preserve"> (</w:t>
      </w:r>
      <w:r w:rsidRPr="00DA478A">
        <w:rPr>
          <w:i/>
          <w:sz w:val="23"/>
          <w:szCs w:val="23"/>
        </w:rPr>
        <w:t>на підтвердження надати довідку у довільній формі</w:t>
      </w:r>
      <w:r w:rsidRPr="00DA478A">
        <w:rPr>
          <w:sz w:val="23"/>
          <w:szCs w:val="23"/>
        </w:rPr>
        <w:t>).</w:t>
      </w:r>
    </w:p>
    <w:p w:rsidR="00BF3CD4" w:rsidRPr="00DA478A" w:rsidRDefault="00BF3CD4" w:rsidP="00BF3CD4">
      <w:pPr>
        <w:pStyle w:val="a3"/>
        <w:numPr>
          <w:ilvl w:val="0"/>
          <w:numId w:val="1"/>
        </w:numPr>
        <w:tabs>
          <w:tab w:val="left" w:pos="567"/>
        </w:tabs>
        <w:suppressAutoHyphens w:val="0"/>
        <w:spacing w:after="0" w:line="240" w:lineRule="auto"/>
        <w:ind w:left="0"/>
        <w:contextualSpacing/>
        <w:jc w:val="both"/>
        <w:rPr>
          <w:rFonts w:ascii="Times New Roman" w:eastAsia="Arial" w:hAnsi="Times New Roman"/>
          <w:color w:val="000000"/>
          <w:sz w:val="23"/>
          <w:szCs w:val="23"/>
        </w:rPr>
      </w:pPr>
      <w:r w:rsidRPr="00DA478A">
        <w:rPr>
          <w:rFonts w:ascii="Times New Roman" w:hAnsi="Times New Roman"/>
          <w:sz w:val="23"/>
          <w:szCs w:val="23"/>
        </w:rPr>
        <w:t>Відповідно</w:t>
      </w:r>
      <w:r w:rsidRPr="00DA478A">
        <w:rPr>
          <w:rFonts w:ascii="Times New Roman" w:eastAsia="Arial" w:hAnsi="Times New Roman"/>
          <w:sz w:val="23"/>
          <w:szCs w:val="23"/>
        </w:rPr>
        <w:t xml:space="preserve"> до ст. 22 Закону України «Про публічні закупівлі» технічні, якісні характеристики предмета закупівлі повинні передбачати необхідність застосува</w:t>
      </w:r>
      <w:r>
        <w:rPr>
          <w:rFonts w:ascii="Times New Roman" w:eastAsia="Arial" w:hAnsi="Times New Roman"/>
          <w:sz w:val="23"/>
          <w:szCs w:val="23"/>
        </w:rPr>
        <w:t>ння заходів із захисту довкілля</w:t>
      </w:r>
      <w:r w:rsidRPr="00DA478A">
        <w:rPr>
          <w:rFonts w:ascii="Times New Roman" w:eastAsia="Arial" w:hAnsi="Times New Roman"/>
          <w:b/>
          <w:color w:val="000000"/>
          <w:sz w:val="23"/>
          <w:szCs w:val="23"/>
        </w:rPr>
        <w:t>.</w:t>
      </w:r>
    </w:p>
    <w:p w:rsidR="00EC3242" w:rsidRPr="00EC3242" w:rsidRDefault="00EC3242" w:rsidP="00EC3242">
      <w:pPr>
        <w:pStyle w:val="a6"/>
        <w:spacing w:before="0" w:beforeAutospacing="0" w:after="0" w:afterAutospacing="0"/>
        <w:ind w:hanging="426"/>
        <w:jc w:val="both"/>
        <w:rPr>
          <w:rFonts w:ascii="Times New Roman" w:eastAsia="Arial Unicode MS" w:hAnsi="Times New Roman" w:cs="Times New Roman"/>
          <w:szCs w:val="24"/>
          <w:lang w:val="uk-UA" w:eastAsia="uk-UA" w:bidi="uk-UA"/>
        </w:rPr>
      </w:pPr>
      <w:bookmarkStart w:id="1" w:name="n416"/>
      <w:bookmarkEnd w:id="1"/>
      <w:r w:rsidRPr="00EC3242">
        <w:rPr>
          <w:rFonts w:ascii="Times New Roman" w:eastAsia="Arial Unicode MS" w:hAnsi="Times New Roman" w:cs="Times New Roman"/>
          <w:szCs w:val="24"/>
          <w:lang w:val="uk-UA" w:eastAsia="uk-UA" w:bidi="uk-UA"/>
        </w:rPr>
        <w:t>1</w:t>
      </w:r>
      <w:r>
        <w:rPr>
          <w:rFonts w:ascii="Times New Roman" w:eastAsia="Arial Unicode MS" w:hAnsi="Times New Roman" w:cs="Times New Roman"/>
          <w:szCs w:val="24"/>
          <w:lang w:val="uk-UA" w:eastAsia="uk-UA" w:bidi="uk-UA"/>
        </w:rPr>
        <w:t>0</w:t>
      </w:r>
      <w:r w:rsidRPr="00EC3242">
        <w:rPr>
          <w:rFonts w:ascii="Times New Roman" w:eastAsia="Arial Unicode MS" w:hAnsi="Times New Roman" w:cs="Times New Roman"/>
          <w:szCs w:val="24"/>
          <w:lang w:val="uk-UA" w:eastAsia="uk-UA" w:bidi="uk-UA"/>
        </w:rPr>
        <w:t xml:space="preserve">. Надати в складі тендерної пропозиції </w:t>
      </w:r>
      <w:proofErr w:type="spellStart"/>
      <w:r w:rsidRPr="00EC3242">
        <w:rPr>
          <w:rFonts w:ascii="Times New Roman" w:eastAsia="Arial Unicode MS" w:hAnsi="Times New Roman" w:cs="Times New Roman"/>
          <w:szCs w:val="24"/>
          <w:lang w:val="uk-UA" w:eastAsia="uk-UA" w:bidi="uk-UA"/>
        </w:rPr>
        <w:t>скан-копію</w:t>
      </w:r>
      <w:proofErr w:type="spellEnd"/>
      <w:r w:rsidRPr="00EC3242">
        <w:rPr>
          <w:rFonts w:ascii="Times New Roman" w:eastAsia="Arial Unicode MS" w:hAnsi="Times New Roman" w:cs="Times New Roman"/>
          <w:szCs w:val="24"/>
          <w:lang w:val="uk-UA" w:eastAsia="uk-UA" w:bidi="uk-UA"/>
        </w:rPr>
        <w:t xml:space="preserve"> сертифікату на систему управління </w:t>
      </w:r>
      <w:r>
        <w:rPr>
          <w:rFonts w:ascii="Times New Roman" w:eastAsia="Arial Unicode MS" w:hAnsi="Times New Roman" w:cs="Times New Roman"/>
          <w:szCs w:val="24"/>
          <w:lang w:val="uk-UA" w:eastAsia="uk-UA" w:bidi="uk-UA"/>
        </w:rPr>
        <w:t xml:space="preserve">  </w:t>
      </w:r>
      <w:r w:rsidRPr="00EC3242">
        <w:rPr>
          <w:rFonts w:ascii="Times New Roman" w:eastAsia="Arial Unicode MS" w:hAnsi="Times New Roman" w:cs="Times New Roman"/>
          <w:szCs w:val="24"/>
          <w:lang w:val="uk-UA" w:eastAsia="uk-UA" w:bidi="uk-UA"/>
        </w:rPr>
        <w:t>якістю Учасника щодо відповідності вимогам ДСТУ ISO 9001:2015 «Системи управління якістю. Вимоги</w:t>
      </w:r>
      <w:r w:rsidRPr="00EC3242">
        <w:rPr>
          <w:rFonts w:ascii="Times New Roman" w:eastAsia="Arial Unicode MS" w:hAnsi="Times New Roman" w:cs="Times New Roman"/>
          <w:color w:val="FF0000"/>
          <w:szCs w:val="24"/>
          <w:lang w:val="uk-UA" w:eastAsia="uk-UA" w:bidi="uk-UA"/>
        </w:rPr>
        <w:t xml:space="preserve"> </w:t>
      </w:r>
      <w:r w:rsidRPr="00EC3242">
        <w:rPr>
          <w:rFonts w:ascii="Times New Roman" w:eastAsia="Arial Unicode MS" w:hAnsi="Times New Roman" w:cs="Times New Roman"/>
          <w:szCs w:val="24"/>
          <w:lang w:val="uk-UA" w:eastAsia="uk-UA" w:bidi="uk-UA"/>
        </w:rPr>
        <w:t xml:space="preserve">(ISO 9001:2015, </w:t>
      </w:r>
      <w:r w:rsidRPr="00EC3242">
        <w:rPr>
          <w:rFonts w:ascii="Times New Roman" w:eastAsia="Arial Unicode MS" w:hAnsi="Times New Roman" w:cs="Times New Roman"/>
          <w:szCs w:val="24"/>
          <w:lang w:val="en-US" w:eastAsia="uk-UA" w:bidi="uk-UA"/>
        </w:rPr>
        <w:t>IDT</w:t>
      </w:r>
      <w:r w:rsidRPr="00EC3242">
        <w:rPr>
          <w:rFonts w:ascii="Times New Roman" w:eastAsia="Arial Unicode MS" w:hAnsi="Times New Roman" w:cs="Times New Roman"/>
          <w:szCs w:val="24"/>
          <w:lang w:val="uk-UA" w:eastAsia="uk-UA" w:bidi="uk-UA"/>
        </w:rPr>
        <w:t>)», що є дійсним не менше, ніж на строк дії тендерної пропозиції та виданий на ім’я Учасника.</w:t>
      </w:r>
    </w:p>
    <w:p w:rsidR="00EC3242" w:rsidRPr="00EC3242" w:rsidRDefault="00EC3242" w:rsidP="00EC3242">
      <w:pPr>
        <w:pStyle w:val="a6"/>
        <w:spacing w:before="0" w:beforeAutospacing="0" w:after="0" w:afterAutospacing="0"/>
        <w:ind w:hanging="426"/>
        <w:jc w:val="both"/>
        <w:rPr>
          <w:rFonts w:ascii="Times New Roman" w:eastAsia="Times New Roman" w:hAnsi="Times New Roman" w:cs="Times New Roman"/>
          <w:b/>
          <w:szCs w:val="20"/>
          <w:lang w:val="uk-UA" w:eastAsia="uk-UA"/>
        </w:rPr>
      </w:pPr>
      <w:r>
        <w:rPr>
          <w:rFonts w:ascii="Times New Roman" w:eastAsia="Arial Unicode MS" w:hAnsi="Times New Roman" w:cs="Times New Roman"/>
          <w:szCs w:val="24"/>
          <w:lang w:val="uk-UA" w:eastAsia="uk-UA" w:bidi="uk-UA"/>
        </w:rPr>
        <w:t xml:space="preserve">11.  </w:t>
      </w:r>
      <w:r w:rsidRPr="00EC3242">
        <w:rPr>
          <w:rFonts w:ascii="Times New Roman" w:eastAsia="Arial Unicode MS" w:hAnsi="Times New Roman" w:cs="Times New Roman"/>
          <w:szCs w:val="24"/>
          <w:lang w:val="uk-UA" w:eastAsia="uk-UA" w:bidi="uk-UA"/>
        </w:rPr>
        <w:t xml:space="preserve">Надати в складі тендерної пропозиції </w:t>
      </w:r>
      <w:proofErr w:type="spellStart"/>
      <w:r w:rsidRPr="00EC3242">
        <w:rPr>
          <w:rFonts w:ascii="Times New Roman" w:eastAsia="Arial Unicode MS" w:hAnsi="Times New Roman" w:cs="Times New Roman"/>
          <w:szCs w:val="24"/>
          <w:lang w:val="uk-UA" w:eastAsia="uk-UA" w:bidi="uk-UA"/>
        </w:rPr>
        <w:t>скан-копію</w:t>
      </w:r>
      <w:proofErr w:type="spellEnd"/>
      <w:r w:rsidRPr="00EC3242">
        <w:rPr>
          <w:rFonts w:ascii="Times New Roman" w:eastAsia="Arial Unicode MS" w:hAnsi="Times New Roman" w:cs="Times New Roman"/>
          <w:szCs w:val="24"/>
          <w:lang w:val="uk-UA" w:eastAsia="uk-UA" w:bidi="uk-UA"/>
        </w:rPr>
        <w:t xml:space="preserve"> </w:t>
      </w:r>
      <w:proofErr w:type="spellStart"/>
      <w:r w:rsidRPr="00EC3242">
        <w:rPr>
          <w:rFonts w:ascii="Times New Roman" w:eastAsia="Arial Unicode MS" w:hAnsi="Times New Roman" w:cs="Times New Roman"/>
          <w:szCs w:val="24"/>
          <w:lang w:val="uk-UA" w:eastAsia="uk-UA" w:bidi="uk-UA"/>
        </w:rPr>
        <w:t>акредитаційного</w:t>
      </w:r>
      <w:proofErr w:type="spellEnd"/>
      <w:r w:rsidRPr="00EC3242">
        <w:rPr>
          <w:rFonts w:ascii="Times New Roman" w:eastAsia="Arial Unicode MS" w:hAnsi="Times New Roman" w:cs="Times New Roman"/>
          <w:szCs w:val="24"/>
          <w:lang w:val="uk-UA" w:eastAsia="uk-UA" w:bidi="uk-UA"/>
        </w:rPr>
        <w:t xml:space="preserve"> сертифікату </w:t>
      </w:r>
      <w:r>
        <w:rPr>
          <w:rFonts w:ascii="Times New Roman" w:eastAsia="Arial Unicode MS" w:hAnsi="Times New Roman" w:cs="Times New Roman"/>
          <w:szCs w:val="24"/>
          <w:lang w:val="uk-UA" w:eastAsia="uk-UA" w:bidi="uk-UA"/>
        </w:rPr>
        <w:t xml:space="preserve">    </w:t>
      </w:r>
      <w:r w:rsidRPr="00EC3242">
        <w:rPr>
          <w:rFonts w:ascii="Times New Roman" w:eastAsia="Arial Unicode MS" w:hAnsi="Times New Roman" w:cs="Times New Roman"/>
          <w:szCs w:val="24"/>
          <w:lang w:val="uk-UA" w:eastAsia="uk-UA" w:bidi="uk-UA"/>
        </w:rPr>
        <w:t>виданого на ім’я Учасника.</w:t>
      </w:r>
    </w:p>
    <w:p w:rsidR="00BF3CD4" w:rsidRPr="00EC3242" w:rsidRDefault="00BF3CD4" w:rsidP="00EC3242">
      <w:pPr>
        <w:ind w:left="-426"/>
        <w:jc w:val="center"/>
        <w:rPr>
          <w:b/>
          <w:color w:val="000000"/>
        </w:rPr>
      </w:pPr>
    </w:p>
    <w:p w:rsidR="00BF3CD4" w:rsidRDefault="00BF3CD4" w:rsidP="00BF3CD4">
      <w:pPr>
        <w:jc w:val="center"/>
        <w:rPr>
          <w:b/>
          <w:color w:val="000000"/>
        </w:rPr>
      </w:pPr>
    </w:p>
    <w:p w:rsidR="00490A37" w:rsidRDefault="00490A37" w:rsidP="00BF3CD4">
      <w:pPr>
        <w:jc w:val="center"/>
        <w:rPr>
          <w:b/>
          <w:color w:val="000000"/>
        </w:rPr>
      </w:pPr>
    </w:p>
    <w:p w:rsidR="00490A37" w:rsidRDefault="00490A37" w:rsidP="00BF3CD4">
      <w:pPr>
        <w:jc w:val="center"/>
        <w:rPr>
          <w:b/>
          <w:color w:val="000000"/>
        </w:rPr>
      </w:pPr>
    </w:p>
    <w:p w:rsidR="00490A37" w:rsidRDefault="00490A37" w:rsidP="00BF3CD4">
      <w:pPr>
        <w:jc w:val="center"/>
        <w:rPr>
          <w:b/>
          <w:color w:val="000000"/>
        </w:rPr>
      </w:pPr>
    </w:p>
    <w:p w:rsidR="00BF3CD4" w:rsidRDefault="008D07EB" w:rsidP="00BF3CD4">
      <w:pPr>
        <w:jc w:val="center"/>
        <w:rPr>
          <w:b/>
          <w:color w:val="000000"/>
        </w:rPr>
      </w:pPr>
      <w:r>
        <w:rPr>
          <w:b/>
          <w:color w:val="000000"/>
        </w:rPr>
        <w:t>2</w:t>
      </w:r>
      <w:r w:rsidR="00BF3CD4" w:rsidRPr="008D053C">
        <w:rPr>
          <w:b/>
          <w:color w:val="000000"/>
        </w:rPr>
        <w:t xml:space="preserve">. </w:t>
      </w:r>
      <w:proofErr w:type="spellStart"/>
      <w:r w:rsidR="00BF3CD4" w:rsidRPr="008D053C">
        <w:rPr>
          <w:b/>
          <w:color w:val="000000"/>
        </w:rPr>
        <w:t>Медико</w:t>
      </w:r>
      <w:proofErr w:type="spellEnd"/>
      <w:r w:rsidR="00BF3CD4" w:rsidRPr="008D053C">
        <w:rPr>
          <w:b/>
          <w:color w:val="000000"/>
        </w:rPr>
        <w:t xml:space="preserve"> - технічна специфікація на закупівлю</w:t>
      </w:r>
    </w:p>
    <w:p w:rsidR="00BF3CD4" w:rsidRDefault="00BF3CD4" w:rsidP="00BF3CD4">
      <w:pPr>
        <w:jc w:val="center"/>
        <w:rPr>
          <w:b/>
          <w:color w:val="000000"/>
        </w:rPr>
      </w:pPr>
    </w:p>
    <w:tbl>
      <w:tblPr>
        <w:tblW w:w="9889" w:type="dxa"/>
        <w:tblInd w:w="137" w:type="dxa"/>
        <w:tblLayout w:type="fixed"/>
        <w:tblLook w:val="04A0"/>
      </w:tblPr>
      <w:tblGrid>
        <w:gridCol w:w="588"/>
        <w:gridCol w:w="6046"/>
        <w:gridCol w:w="1628"/>
        <w:gridCol w:w="1627"/>
      </w:tblGrid>
      <w:tr w:rsidR="00BF3CD4" w:rsidTr="00806317">
        <w:trPr>
          <w:trHeight w:val="623"/>
        </w:trPr>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3CD4" w:rsidRDefault="00BF3CD4" w:rsidP="00AC64A1">
            <w:pPr>
              <w:spacing w:after="100"/>
              <w:rPr>
                <w:b/>
              </w:rPr>
            </w:pPr>
            <w:r>
              <w:rPr>
                <w:b/>
              </w:rPr>
              <w:t>№</w:t>
            </w:r>
          </w:p>
          <w:p w:rsidR="00BF3CD4" w:rsidRDefault="00BF3CD4" w:rsidP="00AC64A1">
            <w:pPr>
              <w:spacing w:after="100"/>
              <w:rPr>
                <w:b/>
              </w:rPr>
            </w:pPr>
            <w:proofErr w:type="spellStart"/>
            <w:r>
              <w:rPr>
                <w:b/>
              </w:rPr>
              <w:t>п\п</w:t>
            </w:r>
            <w:proofErr w:type="spellEnd"/>
          </w:p>
        </w:tc>
        <w:tc>
          <w:tcPr>
            <w:tcW w:w="6046" w:type="dxa"/>
            <w:tcBorders>
              <w:top w:val="single" w:sz="4" w:space="0" w:color="auto"/>
              <w:left w:val="nil"/>
              <w:bottom w:val="single" w:sz="4" w:space="0" w:color="auto"/>
              <w:right w:val="single" w:sz="4" w:space="0" w:color="auto"/>
            </w:tcBorders>
            <w:shd w:val="clear" w:color="auto" w:fill="FFFFFF" w:themeFill="background1"/>
            <w:vAlign w:val="center"/>
          </w:tcPr>
          <w:p w:rsidR="00BF3CD4" w:rsidRDefault="00BF3CD4" w:rsidP="00AC64A1">
            <w:pPr>
              <w:spacing w:after="100"/>
              <w:jc w:val="center"/>
              <w:rPr>
                <w:b/>
              </w:rPr>
            </w:pPr>
            <w:r>
              <w:rPr>
                <w:b/>
              </w:rPr>
              <w:t>Найменування послуги</w:t>
            </w:r>
            <w:bookmarkStart w:id="2" w:name="_GoBack"/>
            <w:bookmarkEnd w:id="2"/>
          </w:p>
        </w:tc>
        <w:tc>
          <w:tcPr>
            <w:tcW w:w="1628" w:type="dxa"/>
            <w:tcBorders>
              <w:top w:val="single" w:sz="4" w:space="0" w:color="auto"/>
              <w:left w:val="nil"/>
              <w:bottom w:val="single" w:sz="4" w:space="0" w:color="auto"/>
              <w:right w:val="single" w:sz="4" w:space="0" w:color="auto"/>
            </w:tcBorders>
            <w:shd w:val="clear" w:color="auto" w:fill="FFFFFF" w:themeFill="background1"/>
            <w:vAlign w:val="center"/>
          </w:tcPr>
          <w:p w:rsidR="00BF3CD4" w:rsidRDefault="00BF3CD4" w:rsidP="00AC64A1">
            <w:pPr>
              <w:spacing w:after="100"/>
              <w:jc w:val="center"/>
              <w:rPr>
                <w:b/>
              </w:rPr>
            </w:pPr>
            <w:r>
              <w:rPr>
                <w:b/>
              </w:rPr>
              <w:t>Од. виміру</w:t>
            </w:r>
          </w:p>
        </w:tc>
        <w:tc>
          <w:tcPr>
            <w:tcW w:w="1627" w:type="dxa"/>
            <w:tcBorders>
              <w:top w:val="single" w:sz="4" w:space="0" w:color="auto"/>
              <w:left w:val="nil"/>
              <w:bottom w:val="single" w:sz="4" w:space="0" w:color="auto"/>
              <w:right w:val="single" w:sz="4" w:space="0" w:color="auto"/>
            </w:tcBorders>
            <w:shd w:val="clear" w:color="auto" w:fill="FFFFFF" w:themeFill="background1"/>
            <w:vAlign w:val="center"/>
          </w:tcPr>
          <w:p w:rsidR="00BF3CD4" w:rsidRDefault="00BF3CD4" w:rsidP="00AC64A1">
            <w:pPr>
              <w:spacing w:after="100"/>
              <w:jc w:val="center"/>
              <w:rPr>
                <w:b/>
              </w:rPr>
            </w:pPr>
            <w:r>
              <w:rPr>
                <w:b/>
              </w:rPr>
              <w:t>Кількість</w:t>
            </w:r>
          </w:p>
        </w:tc>
      </w:tr>
      <w:tr w:rsidR="00BF3CD4" w:rsidTr="007B57E1">
        <w:trPr>
          <w:trHeight w:val="623"/>
        </w:trPr>
        <w:tc>
          <w:tcPr>
            <w:tcW w:w="588" w:type="dxa"/>
            <w:tcBorders>
              <w:top w:val="single" w:sz="4" w:space="0" w:color="auto"/>
              <w:left w:val="single" w:sz="4" w:space="0" w:color="auto"/>
              <w:bottom w:val="single" w:sz="4" w:space="0" w:color="auto"/>
              <w:right w:val="single" w:sz="4" w:space="0" w:color="auto"/>
            </w:tcBorders>
            <w:vAlign w:val="center"/>
          </w:tcPr>
          <w:p w:rsidR="00BF3CD4" w:rsidRPr="009175B0" w:rsidRDefault="00BF3CD4" w:rsidP="00AC64A1">
            <w:pPr>
              <w:spacing w:after="100"/>
              <w:jc w:val="center"/>
            </w:pPr>
            <w:r w:rsidRPr="009175B0">
              <w:t>1</w:t>
            </w:r>
          </w:p>
        </w:tc>
        <w:tc>
          <w:tcPr>
            <w:tcW w:w="6046" w:type="dxa"/>
            <w:tcBorders>
              <w:top w:val="single" w:sz="4" w:space="0" w:color="auto"/>
              <w:left w:val="nil"/>
              <w:bottom w:val="single" w:sz="4" w:space="0" w:color="auto"/>
              <w:right w:val="single" w:sz="4" w:space="0" w:color="auto"/>
            </w:tcBorders>
          </w:tcPr>
          <w:p w:rsidR="00BF3CD4" w:rsidRPr="007C5BA4" w:rsidRDefault="007B57E1" w:rsidP="007B57E1">
            <w:pPr>
              <w:jc w:val="both"/>
            </w:pPr>
            <w:r>
              <w:rPr>
                <w:rFonts w:eastAsia="SimSun"/>
                <w:b/>
                <w:color w:val="000000"/>
                <w:kern w:val="3"/>
                <w:lang w:eastAsia="zh-CN" w:bidi="hi-IN"/>
              </w:rPr>
              <w:t xml:space="preserve">Проведення патологоанатомічного  дослідження </w:t>
            </w:r>
            <w:proofErr w:type="spellStart"/>
            <w:r>
              <w:rPr>
                <w:rFonts w:eastAsia="SimSun"/>
                <w:b/>
                <w:color w:val="000000"/>
                <w:kern w:val="3"/>
                <w:lang w:eastAsia="zh-CN" w:bidi="hi-IN"/>
              </w:rPr>
              <w:t>біопсійного</w:t>
            </w:r>
            <w:proofErr w:type="spellEnd"/>
            <w:r>
              <w:rPr>
                <w:rFonts w:eastAsia="SimSun"/>
                <w:b/>
                <w:color w:val="000000"/>
                <w:kern w:val="3"/>
                <w:lang w:eastAsia="zh-CN" w:bidi="hi-IN"/>
              </w:rPr>
              <w:t xml:space="preserve"> та операційного матеріалу І категорії складності; </w:t>
            </w:r>
          </w:p>
        </w:tc>
        <w:tc>
          <w:tcPr>
            <w:tcW w:w="1628" w:type="dxa"/>
            <w:tcBorders>
              <w:top w:val="single" w:sz="4" w:space="0" w:color="auto"/>
              <w:left w:val="nil"/>
              <w:bottom w:val="single" w:sz="4" w:space="0" w:color="auto"/>
              <w:right w:val="single" w:sz="4" w:space="0" w:color="auto"/>
            </w:tcBorders>
            <w:vAlign w:val="center"/>
          </w:tcPr>
          <w:p w:rsidR="00BF3CD4" w:rsidRPr="00483FE9" w:rsidRDefault="00BF3CD4" w:rsidP="00AC64A1">
            <w:pPr>
              <w:spacing w:after="100"/>
              <w:jc w:val="center"/>
            </w:pPr>
            <w:r>
              <w:t>дослідження</w:t>
            </w:r>
          </w:p>
        </w:tc>
        <w:tc>
          <w:tcPr>
            <w:tcW w:w="1627" w:type="dxa"/>
            <w:tcBorders>
              <w:top w:val="single" w:sz="4" w:space="0" w:color="auto"/>
              <w:left w:val="nil"/>
              <w:bottom w:val="single" w:sz="4" w:space="0" w:color="auto"/>
              <w:right w:val="single" w:sz="4" w:space="0" w:color="auto"/>
            </w:tcBorders>
            <w:vAlign w:val="center"/>
          </w:tcPr>
          <w:p w:rsidR="00BF3CD4" w:rsidRPr="009175B0" w:rsidRDefault="009F6D63" w:rsidP="00AC64A1">
            <w:pPr>
              <w:spacing w:after="100"/>
              <w:jc w:val="center"/>
            </w:pPr>
            <w:r>
              <w:t>50</w:t>
            </w:r>
          </w:p>
        </w:tc>
      </w:tr>
      <w:tr w:rsidR="00BF3CD4" w:rsidTr="007B57E1">
        <w:trPr>
          <w:trHeight w:val="623"/>
        </w:trPr>
        <w:tc>
          <w:tcPr>
            <w:tcW w:w="588" w:type="dxa"/>
            <w:tcBorders>
              <w:top w:val="single" w:sz="4" w:space="0" w:color="auto"/>
              <w:left w:val="single" w:sz="4" w:space="0" w:color="auto"/>
              <w:bottom w:val="single" w:sz="4" w:space="0" w:color="auto"/>
              <w:right w:val="single" w:sz="4" w:space="0" w:color="auto"/>
            </w:tcBorders>
            <w:vAlign w:val="center"/>
          </w:tcPr>
          <w:p w:rsidR="00BF3CD4" w:rsidRPr="009175B0" w:rsidRDefault="00BF3CD4" w:rsidP="00AC64A1">
            <w:pPr>
              <w:spacing w:after="100"/>
              <w:jc w:val="center"/>
            </w:pPr>
            <w:r w:rsidRPr="009175B0">
              <w:t>2</w:t>
            </w:r>
          </w:p>
        </w:tc>
        <w:tc>
          <w:tcPr>
            <w:tcW w:w="6046" w:type="dxa"/>
            <w:tcBorders>
              <w:top w:val="single" w:sz="4" w:space="0" w:color="auto"/>
              <w:left w:val="nil"/>
              <w:bottom w:val="single" w:sz="4" w:space="0" w:color="auto"/>
              <w:right w:val="single" w:sz="4" w:space="0" w:color="auto"/>
            </w:tcBorders>
          </w:tcPr>
          <w:p w:rsidR="00BF3CD4" w:rsidRPr="007C5BA4" w:rsidRDefault="007B57E1" w:rsidP="00AC64A1">
            <w:pPr>
              <w:jc w:val="both"/>
            </w:pPr>
            <w:r>
              <w:rPr>
                <w:rFonts w:eastAsia="SimSun"/>
                <w:b/>
                <w:color w:val="000000"/>
                <w:kern w:val="3"/>
                <w:lang w:eastAsia="zh-CN" w:bidi="hi-IN"/>
              </w:rPr>
              <w:t xml:space="preserve">Проведення патологоанатомічного  дослідження </w:t>
            </w:r>
            <w:proofErr w:type="spellStart"/>
            <w:r>
              <w:rPr>
                <w:rFonts w:eastAsia="SimSun"/>
                <w:b/>
                <w:color w:val="000000"/>
                <w:kern w:val="3"/>
                <w:lang w:eastAsia="zh-CN" w:bidi="hi-IN"/>
              </w:rPr>
              <w:t>біопсійного</w:t>
            </w:r>
            <w:proofErr w:type="spellEnd"/>
            <w:r>
              <w:rPr>
                <w:rFonts w:eastAsia="SimSun"/>
                <w:b/>
                <w:color w:val="000000"/>
                <w:kern w:val="3"/>
                <w:lang w:eastAsia="zh-CN" w:bidi="hi-IN"/>
              </w:rPr>
              <w:t xml:space="preserve"> та операційного матеріалу І</w:t>
            </w:r>
            <w:proofErr w:type="spellStart"/>
            <w:r>
              <w:rPr>
                <w:rFonts w:eastAsia="SimSun"/>
                <w:b/>
                <w:color w:val="000000"/>
                <w:kern w:val="3"/>
                <w:lang w:val="ru-RU" w:eastAsia="zh-CN" w:bidi="hi-IN"/>
              </w:rPr>
              <w:t>І</w:t>
            </w:r>
            <w:proofErr w:type="spellEnd"/>
            <w:r>
              <w:rPr>
                <w:rFonts w:eastAsia="SimSun"/>
                <w:b/>
                <w:color w:val="000000"/>
                <w:kern w:val="3"/>
                <w:lang w:eastAsia="zh-CN" w:bidi="hi-IN"/>
              </w:rPr>
              <w:t xml:space="preserve"> категорії складності;</w:t>
            </w:r>
          </w:p>
        </w:tc>
        <w:tc>
          <w:tcPr>
            <w:tcW w:w="1628" w:type="dxa"/>
            <w:tcBorders>
              <w:top w:val="single" w:sz="4" w:space="0" w:color="auto"/>
              <w:left w:val="nil"/>
              <w:bottom w:val="single" w:sz="4" w:space="0" w:color="auto"/>
              <w:right w:val="single" w:sz="4" w:space="0" w:color="auto"/>
            </w:tcBorders>
          </w:tcPr>
          <w:p w:rsidR="00BF3CD4" w:rsidRDefault="00BF3CD4" w:rsidP="00AC64A1">
            <w:r w:rsidRPr="00697F5B">
              <w:t>дослідження</w:t>
            </w:r>
          </w:p>
        </w:tc>
        <w:tc>
          <w:tcPr>
            <w:tcW w:w="1627" w:type="dxa"/>
            <w:tcBorders>
              <w:top w:val="single" w:sz="4" w:space="0" w:color="auto"/>
              <w:left w:val="nil"/>
              <w:bottom w:val="single" w:sz="4" w:space="0" w:color="auto"/>
              <w:right w:val="single" w:sz="4" w:space="0" w:color="auto"/>
            </w:tcBorders>
            <w:vAlign w:val="center"/>
          </w:tcPr>
          <w:p w:rsidR="00BF3CD4" w:rsidRPr="009175B0" w:rsidRDefault="009F6D63" w:rsidP="00AC64A1">
            <w:pPr>
              <w:spacing w:after="100"/>
              <w:jc w:val="center"/>
            </w:pPr>
            <w:r>
              <w:t>50</w:t>
            </w:r>
          </w:p>
        </w:tc>
      </w:tr>
      <w:tr w:rsidR="00BF3CD4" w:rsidTr="007B57E1">
        <w:trPr>
          <w:trHeight w:val="623"/>
        </w:trPr>
        <w:tc>
          <w:tcPr>
            <w:tcW w:w="588" w:type="dxa"/>
            <w:tcBorders>
              <w:top w:val="single" w:sz="4" w:space="0" w:color="auto"/>
              <w:left w:val="single" w:sz="4" w:space="0" w:color="auto"/>
              <w:bottom w:val="single" w:sz="4" w:space="0" w:color="auto"/>
              <w:right w:val="single" w:sz="4" w:space="0" w:color="auto"/>
            </w:tcBorders>
            <w:vAlign w:val="center"/>
          </w:tcPr>
          <w:p w:rsidR="00BF3CD4" w:rsidRPr="009175B0" w:rsidRDefault="00BF3CD4" w:rsidP="00AC64A1">
            <w:pPr>
              <w:spacing w:after="100"/>
              <w:jc w:val="center"/>
            </w:pPr>
            <w:r w:rsidRPr="009175B0">
              <w:t>3</w:t>
            </w:r>
          </w:p>
        </w:tc>
        <w:tc>
          <w:tcPr>
            <w:tcW w:w="6046" w:type="dxa"/>
            <w:tcBorders>
              <w:top w:val="single" w:sz="4" w:space="0" w:color="auto"/>
              <w:left w:val="nil"/>
              <w:bottom w:val="single" w:sz="4" w:space="0" w:color="auto"/>
              <w:right w:val="single" w:sz="4" w:space="0" w:color="auto"/>
            </w:tcBorders>
          </w:tcPr>
          <w:p w:rsidR="00BF3CD4" w:rsidRDefault="007B57E1" w:rsidP="00AC64A1">
            <w:pPr>
              <w:jc w:val="both"/>
            </w:pPr>
            <w:r>
              <w:rPr>
                <w:rFonts w:eastAsia="SimSun"/>
                <w:b/>
                <w:color w:val="000000"/>
                <w:kern w:val="3"/>
                <w:lang w:eastAsia="zh-CN" w:bidi="hi-IN"/>
              </w:rPr>
              <w:t xml:space="preserve">Проведення патологоанатомічного  дослідження </w:t>
            </w:r>
            <w:proofErr w:type="spellStart"/>
            <w:r>
              <w:rPr>
                <w:rFonts w:eastAsia="SimSun"/>
                <w:b/>
                <w:color w:val="000000"/>
                <w:kern w:val="3"/>
                <w:lang w:eastAsia="zh-CN" w:bidi="hi-IN"/>
              </w:rPr>
              <w:t>біопсійного</w:t>
            </w:r>
            <w:proofErr w:type="spellEnd"/>
            <w:r>
              <w:rPr>
                <w:rFonts w:eastAsia="SimSun"/>
                <w:b/>
                <w:color w:val="000000"/>
                <w:kern w:val="3"/>
                <w:lang w:eastAsia="zh-CN" w:bidi="hi-IN"/>
              </w:rPr>
              <w:t xml:space="preserve"> та операційного матеріалу ІІІ категорії складності;</w:t>
            </w:r>
          </w:p>
        </w:tc>
        <w:tc>
          <w:tcPr>
            <w:tcW w:w="1628" w:type="dxa"/>
            <w:tcBorders>
              <w:top w:val="single" w:sz="4" w:space="0" w:color="auto"/>
              <w:left w:val="nil"/>
              <w:bottom w:val="single" w:sz="4" w:space="0" w:color="auto"/>
              <w:right w:val="single" w:sz="4" w:space="0" w:color="auto"/>
            </w:tcBorders>
          </w:tcPr>
          <w:p w:rsidR="00BF3CD4" w:rsidRDefault="00BF3CD4" w:rsidP="00AC64A1">
            <w:r w:rsidRPr="00697F5B">
              <w:t>дослідження</w:t>
            </w:r>
          </w:p>
        </w:tc>
        <w:tc>
          <w:tcPr>
            <w:tcW w:w="1627" w:type="dxa"/>
            <w:tcBorders>
              <w:top w:val="single" w:sz="4" w:space="0" w:color="auto"/>
              <w:left w:val="nil"/>
              <w:bottom w:val="single" w:sz="4" w:space="0" w:color="auto"/>
              <w:right w:val="single" w:sz="4" w:space="0" w:color="auto"/>
            </w:tcBorders>
            <w:vAlign w:val="center"/>
          </w:tcPr>
          <w:p w:rsidR="00BF3CD4" w:rsidRPr="009175B0" w:rsidRDefault="009F6D63" w:rsidP="00AC64A1">
            <w:pPr>
              <w:spacing w:after="100"/>
              <w:jc w:val="center"/>
            </w:pPr>
            <w:r>
              <w:t>50</w:t>
            </w:r>
          </w:p>
        </w:tc>
      </w:tr>
      <w:tr w:rsidR="00BF3CD4" w:rsidTr="007B57E1">
        <w:trPr>
          <w:trHeight w:val="311"/>
        </w:trPr>
        <w:tc>
          <w:tcPr>
            <w:tcW w:w="588" w:type="dxa"/>
            <w:tcBorders>
              <w:top w:val="nil"/>
              <w:left w:val="single" w:sz="4" w:space="0" w:color="auto"/>
              <w:bottom w:val="single" w:sz="4" w:space="0" w:color="auto"/>
              <w:right w:val="single" w:sz="4" w:space="0" w:color="auto"/>
            </w:tcBorders>
            <w:vAlign w:val="center"/>
          </w:tcPr>
          <w:p w:rsidR="00BF3CD4" w:rsidRDefault="00BF3CD4" w:rsidP="00AC64A1">
            <w:pPr>
              <w:spacing w:after="100"/>
              <w:jc w:val="center"/>
            </w:pPr>
            <w:r>
              <w:t>4</w:t>
            </w:r>
          </w:p>
        </w:tc>
        <w:tc>
          <w:tcPr>
            <w:tcW w:w="6046" w:type="dxa"/>
            <w:tcBorders>
              <w:top w:val="nil"/>
              <w:left w:val="nil"/>
              <w:bottom w:val="single" w:sz="4" w:space="0" w:color="auto"/>
              <w:right w:val="single" w:sz="4" w:space="0" w:color="auto"/>
            </w:tcBorders>
          </w:tcPr>
          <w:p w:rsidR="00BF3CD4" w:rsidRDefault="007B57E1" w:rsidP="00AC64A1">
            <w:pPr>
              <w:jc w:val="both"/>
            </w:pPr>
            <w:r>
              <w:rPr>
                <w:rFonts w:eastAsia="SimSun"/>
                <w:b/>
                <w:color w:val="000000"/>
                <w:kern w:val="3"/>
                <w:lang w:eastAsia="zh-CN" w:bidi="hi-IN"/>
              </w:rPr>
              <w:t xml:space="preserve">Проведення патологоанатомічного  дослідження </w:t>
            </w:r>
            <w:proofErr w:type="spellStart"/>
            <w:r>
              <w:rPr>
                <w:rFonts w:eastAsia="SimSun"/>
                <w:b/>
                <w:color w:val="000000"/>
                <w:kern w:val="3"/>
                <w:lang w:eastAsia="zh-CN" w:bidi="hi-IN"/>
              </w:rPr>
              <w:t>біопсійного</w:t>
            </w:r>
            <w:proofErr w:type="spellEnd"/>
            <w:r>
              <w:rPr>
                <w:rFonts w:eastAsia="SimSun"/>
                <w:b/>
                <w:color w:val="000000"/>
                <w:kern w:val="3"/>
                <w:lang w:eastAsia="zh-CN" w:bidi="hi-IN"/>
              </w:rPr>
              <w:t xml:space="preserve"> та операційного матеріалу І</w:t>
            </w:r>
            <w:r>
              <w:rPr>
                <w:rFonts w:eastAsia="SimSun"/>
                <w:b/>
                <w:color w:val="000000"/>
                <w:kern w:val="3"/>
                <w:lang w:val="en-US" w:eastAsia="zh-CN" w:bidi="hi-IN"/>
              </w:rPr>
              <w:t>V</w:t>
            </w:r>
            <w:r>
              <w:rPr>
                <w:rFonts w:eastAsia="SimSun"/>
                <w:b/>
                <w:color w:val="000000"/>
                <w:kern w:val="3"/>
                <w:lang w:eastAsia="zh-CN" w:bidi="hi-IN"/>
              </w:rPr>
              <w:t xml:space="preserve"> категорії складності;</w:t>
            </w:r>
          </w:p>
        </w:tc>
        <w:tc>
          <w:tcPr>
            <w:tcW w:w="1628" w:type="dxa"/>
            <w:tcBorders>
              <w:top w:val="nil"/>
              <w:left w:val="nil"/>
              <w:bottom w:val="single" w:sz="4" w:space="0" w:color="auto"/>
              <w:right w:val="single" w:sz="4" w:space="0" w:color="auto"/>
            </w:tcBorders>
          </w:tcPr>
          <w:p w:rsidR="00BF3CD4" w:rsidRDefault="00BF3CD4" w:rsidP="00AC64A1">
            <w:r w:rsidRPr="00697F5B">
              <w:t>дослідження</w:t>
            </w:r>
          </w:p>
        </w:tc>
        <w:tc>
          <w:tcPr>
            <w:tcW w:w="1627" w:type="dxa"/>
            <w:tcBorders>
              <w:top w:val="nil"/>
              <w:left w:val="nil"/>
              <w:bottom w:val="single" w:sz="4" w:space="0" w:color="auto"/>
              <w:right w:val="single" w:sz="4" w:space="0" w:color="auto"/>
            </w:tcBorders>
            <w:vAlign w:val="center"/>
          </w:tcPr>
          <w:p w:rsidR="00BF3CD4" w:rsidRPr="00DA478A" w:rsidRDefault="009F6D63" w:rsidP="00AC64A1">
            <w:pPr>
              <w:spacing w:after="100"/>
              <w:jc w:val="center"/>
              <w:rPr>
                <w:color w:val="000000"/>
              </w:rPr>
            </w:pPr>
            <w:r>
              <w:rPr>
                <w:color w:val="000000"/>
              </w:rPr>
              <w:t>100</w:t>
            </w:r>
          </w:p>
        </w:tc>
      </w:tr>
      <w:tr w:rsidR="00BF3CD4" w:rsidTr="00AC64A1">
        <w:trPr>
          <w:trHeight w:val="311"/>
        </w:trPr>
        <w:tc>
          <w:tcPr>
            <w:tcW w:w="588" w:type="dxa"/>
            <w:tcBorders>
              <w:top w:val="single" w:sz="4" w:space="0" w:color="auto"/>
              <w:left w:val="single" w:sz="4" w:space="0" w:color="auto"/>
              <w:bottom w:val="single" w:sz="4" w:space="0" w:color="auto"/>
              <w:right w:val="single" w:sz="4" w:space="0" w:color="auto"/>
            </w:tcBorders>
            <w:vAlign w:val="center"/>
          </w:tcPr>
          <w:p w:rsidR="00BF3CD4" w:rsidRDefault="00BF3CD4" w:rsidP="00AC64A1">
            <w:pPr>
              <w:spacing w:after="100"/>
              <w:jc w:val="center"/>
            </w:pPr>
          </w:p>
        </w:tc>
        <w:tc>
          <w:tcPr>
            <w:tcW w:w="7674" w:type="dxa"/>
            <w:gridSpan w:val="2"/>
            <w:tcBorders>
              <w:top w:val="single" w:sz="4" w:space="0" w:color="auto"/>
              <w:left w:val="nil"/>
              <w:bottom w:val="single" w:sz="4" w:space="0" w:color="auto"/>
              <w:right w:val="single" w:sz="4" w:space="0" w:color="auto"/>
            </w:tcBorders>
          </w:tcPr>
          <w:p w:rsidR="00BF3CD4" w:rsidRPr="00697F5B" w:rsidRDefault="00BF3CD4" w:rsidP="00AC64A1">
            <w:pPr>
              <w:jc w:val="right"/>
            </w:pPr>
            <w:r w:rsidRPr="00B05BCC">
              <w:rPr>
                <w:b/>
              </w:rPr>
              <w:t>Всього</w:t>
            </w:r>
          </w:p>
        </w:tc>
        <w:tc>
          <w:tcPr>
            <w:tcW w:w="1627" w:type="dxa"/>
            <w:tcBorders>
              <w:top w:val="single" w:sz="4" w:space="0" w:color="auto"/>
              <w:left w:val="nil"/>
              <w:bottom w:val="single" w:sz="4" w:space="0" w:color="auto"/>
              <w:right w:val="single" w:sz="4" w:space="0" w:color="auto"/>
            </w:tcBorders>
            <w:vAlign w:val="center"/>
          </w:tcPr>
          <w:p w:rsidR="00BF3CD4" w:rsidRPr="00F87196" w:rsidRDefault="00BF3CD4" w:rsidP="00AC64A1">
            <w:pPr>
              <w:spacing w:after="100"/>
              <w:jc w:val="center"/>
              <w:rPr>
                <w:b/>
                <w:color w:val="000000"/>
              </w:rPr>
            </w:pPr>
          </w:p>
        </w:tc>
      </w:tr>
    </w:tbl>
    <w:p w:rsidR="00BF3CD4" w:rsidRDefault="00BF3CD4" w:rsidP="00BF3CD4">
      <w:pPr>
        <w:contextualSpacing/>
        <w:rPr>
          <w:b/>
          <w:bCs/>
        </w:rPr>
      </w:pPr>
    </w:p>
    <w:p w:rsidR="00BF3CD4" w:rsidRDefault="00BF3CD4" w:rsidP="00BF3CD4">
      <w:pPr>
        <w:contextualSpacing/>
        <w:rPr>
          <w:b/>
          <w:bCs/>
        </w:rPr>
      </w:pPr>
    </w:p>
    <w:p w:rsidR="00BF3CD4" w:rsidRPr="0008292E" w:rsidRDefault="00BF3CD4" w:rsidP="00BF3CD4">
      <w:pPr>
        <w:pStyle w:val="a3"/>
        <w:tabs>
          <w:tab w:val="left" w:pos="0"/>
          <w:tab w:val="left" w:pos="993"/>
          <w:tab w:val="left" w:pos="11160"/>
        </w:tabs>
        <w:spacing w:after="0"/>
        <w:ind w:left="709"/>
        <w:jc w:val="both"/>
        <w:rPr>
          <w:rFonts w:ascii="Times New Roman" w:hAnsi="Times New Roman"/>
          <w:b/>
          <w:i/>
          <w:color w:val="000000"/>
          <w:sz w:val="21"/>
          <w:szCs w:val="21"/>
        </w:rPr>
      </w:pPr>
      <w:r w:rsidRPr="0008292E">
        <w:rPr>
          <w:rFonts w:ascii="Times New Roman" w:hAnsi="Times New Roman"/>
          <w:b/>
          <w:i/>
          <w:color w:val="000000"/>
          <w:sz w:val="21"/>
          <w:szCs w:val="21"/>
        </w:rPr>
        <w:t>*Примітка:</w:t>
      </w:r>
    </w:p>
    <w:p w:rsidR="00BF3CD4" w:rsidRDefault="00BF3CD4" w:rsidP="00BF3CD4">
      <w:pPr>
        <w:tabs>
          <w:tab w:val="left" w:pos="0"/>
        </w:tabs>
        <w:contextualSpacing/>
        <w:jc w:val="both"/>
        <w:rPr>
          <w:color w:val="000000"/>
          <w:sz w:val="21"/>
          <w:szCs w:val="21"/>
        </w:rPr>
      </w:pPr>
      <w:r w:rsidRPr="008D053C">
        <w:rPr>
          <w:color w:val="000000"/>
          <w:sz w:val="21"/>
          <w:szCs w:val="21"/>
        </w:rPr>
        <w:tab/>
        <w:t>Пропозиція учасника, що не містить передбачених документів, вважається такою, що не відповідає умовам цієї документації.</w:t>
      </w:r>
      <w:r>
        <w:rPr>
          <w:color w:val="000000"/>
          <w:sz w:val="21"/>
          <w:szCs w:val="21"/>
        </w:rPr>
        <w:t xml:space="preserve"> </w:t>
      </w:r>
    </w:p>
    <w:p w:rsidR="00BF3CD4" w:rsidRPr="00A628F2" w:rsidRDefault="00BF3CD4" w:rsidP="00BF3CD4">
      <w:pPr>
        <w:tabs>
          <w:tab w:val="left" w:pos="1080"/>
        </w:tabs>
        <w:ind w:firstLine="567"/>
        <w:jc w:val="both"/>
        <w:rPr>
          <w:color w:val="1A1A1A"/>
          <w:sz w:val="21"/>
          <w:szCs w:val="21"/>
        </w:rPr>
      </w:pPr>
      <w:r w:rsidRPr="0030517D">
        <w:rPr>
          <w:color w:val="1A1A1A"/>
          <w:sz w:val="21"/>
          <w:szCs w:val="21"/>
        </w:rPr>
        <w:t xml:space="preserve">Якщо тендерна пропозиція не буде відповідати характеристикам вказаним у </w:t>
      </w:r>
      <w:proofErr w:type="spellStart"/>
      <w:r w:rsidRPr="0030517D">
        <w:rPr>
          <w:color w:val="1A1A1A"/>
          <w:sz w:val="21"/>
          <w:szCs w:val="21"/>
        </w:rPr>
        <w:t>медико-технічних</w:t>
      </w:r>
      <w:proofErr w:type="spellEnd"/>
      <w:r w:rsidRPr="0030517D">
        <w:rPr>
          <w:color w:val="1A1A1A"/>
          <w:sz w:val="21"/>
          <w:szCs w:val="21"/>
        </w:rPr>
        <w:t xml:space="preserve"> вимогах тендерн</w:t>
      </w:r>
      <w:r>
        <w:rPr>
          <w:color w:val="1A1A1A"/>
          <w:sz w:val="21"/>
          <w:szCs w:val="21"/>
        </w:rPr>
        <w:t>ої документації, Замовник процедури закупівлі</w:t>
      </w:r>
      <w:r w:rsidRPr="0030517D">
        <w:rPr>
          <w:color w:val="1A1A1A"/>
          <w:sz w:val="21"/>
          <w:szCs w:val="21"/>
        </w:rPr>
        <w:t xml:space="preserve"> відхиляє дану пропозицію, як таку, що не відповідає умовам тендерної документації.</w:t>
      </w:r>
    </w:p>
    <w:p w:rsidR="00BF3CD4" w:rsidRDefault="00BF3CD4" w:rsidP="00BF3CD4">
      <w:pPr>
        <w:tabs>
          <w:tab w:val="left" w:pos="0"/>
        </w:tabs>
        <w:ind w:firstLine="709"/>
        <w:contextualSpacing/>
        <w:jc w:val="both"/>
        <w:rPr>
          <w:color w:val="000000"/>
          <w:sz w:val="21"/>
          <w:szCs w:val="21"/>
        </w:rPr>
      </w:pPr>
      <w:r>
        <w:rPr>
          <w:color w:val="000000"/>
          <w:sz w:val="21"/>
          <w:szCs w:val="21"/>
        </w:rPr>
        <w:t xml:space="preserve">Документи які були </w:t>
      </w:r>
      <w:proofErr w:type="spellStart"/>
      <w:r>
        <w:rPr>
          <w:color w:val="000000"/>
          <w:sz w:val="21"/>
          <w:szCs w:val="21"/>
        </w:rPr>
        <w:t>дозавантажені</w:t>
      </w:r>
      <w:proofErr w:type="spellEnd"/>
      <w:r>
        <w:rPr>
          <w:color w:val="000000"/>
          <w:sz w:val="21"/>
          <w:szCs w:val="21"/>
        </w:rPr>
        <w:t xml:space="preserve"> учасниками (крім переможця та крім випадків, передбачених </w:t>
      </w:r>
      <w:r>
        <w:rPr>
          <w:sz w:val="21"/>
          <w:szCs w:val="21"/>
        </w:rPr>
        <w:t>Законом та Особливостями</w:t>
      </w:r>
      <w:r w:rsidRPr="009C6C04">
        <w:rPr>
          <w:color w:val="000000"/>
          <w:sz w:val="21"/>
          <w:szCs w:val="21"/>
        </w:rPr>
        <w:t>)</w:t>
      </w:r>
      <w:r>
        <w:rPr>
          <w:color w:val="000000"/>
          <w:sz w:val="21"/>
          <w:szCs w:val="21"/>
        </w:rPr>
        <w:t xml:space="preserve"> після закінчення строку подання тендерних пропозицій до уваги не приймаються.</w:t>
      </w:r>
    </w:p>
    <w:p w:rsidR="00BF3CD4" w:rsidRDefault="00BF3CD4" w:rsidP="00BF3CD4">
      <w:pPr>
        <w:tabs>
          <w:tab w:val="left" w:pos="0"/>
        </w:tabs>
        <w:ind w:firstLine="709"/>
        <w:contextualSpacing/>
        <w:jc w:val="both"/>
        <w:rPr>
          <w:sz w:val="21"/>
          <w:szCs w:val="21"/>
        </w:rPr>
      </w:pPr>
    </w:p>
    <w:p w:rsidR="00BF3CD4" w:rsidRDefault="00BF3CD4" w:rsidP="00BF3CD4">
      <w:pPr>
        <w:tabs>
          <w:tab w:val="left" w:pos="0"/>
        </w:tabs>
        <w:contextualSpacing/>
        <w:jc w:val="both"/>
        <w:rPr>
          <w:sz w:val="21"/>
          <w:szCs w:val="21"/>
        </w:rPr>
      </w:pPr>
    </w:p>
    <w:p w:rsidR="00BF3CD4" w:rsidRDefault="00BF3CD4" w:rsidP="00BF3CD4">
      <w:pPr>
        <w:tabs>
          <w:tab w:val="left" w:pos="0"/>
        </w:tabs>
        <w:contextualSpacing/>
        <w:jc w:val="both"/>
        <w:rPr>
          <w:sz w:val="21"/>
          <w:szCs w:val="21"/>
        </w:rPr>
      </w:pPr>
    </w:p>
    <w:p w:rsidR="00BF3CD4" w:rsidRPr="006D4FA5" w:rsidRDefault="00BF3CD4" w:rsidP="00BF3CD4">
      <w:pPr>
        <w:ind w:firstLine="708"/>
        <w:rPr>
          <w:sz w:val="21"/>
          <w:szCs w:val="21"/>
        </w:rPr>
      </w:pPr>
      <w:r w:rsidRPr="006D4FA5">
        <w:rPr>
          <w:sz w:val="21"/>
          <w:szCs w:val="21"/>
        </w:rPr>
        <w:t>________</w:t>
      </w:r>
      <w:r w:rsidRPr="006D4FA5">
        <w:rPr>
          <w:sz w:val="21"/>
          <w:szCs w:val="21"/>
        </w:rPr>
        <w:tab/>
      </w:r>
      <w:r w:rsidRPr="006D4FA5">
        <w:rPr>
          <w:sz w:val="21"/>
          <w:szCs w:val="21"/>
        </w:rPr>
        <w:tab/>
      </w:r>
      <w:r w:rsidRPr="006D4FA5">
        <w:rPr>
          <w:sz w:val="21"/>
          <w:szCs w:val="21"/>
        </w:rPr>
        <w:tab/>
      </w:r>
      <w:r w:rsidRPr="006D4FA5">
        <w:rPr>
          <w:sz w:val="21"/>
          <w:szCs w:val="21"/>
        </w:rPr>
        <w:tab/>
      </w:r>
      <w:r w:rsidRPr="006D4FA5">
        <w:rPr>
          <w:sz w:val="21"/>
          <w:szCs w:val="21"/>
        </w:rPr>
        <w:tab/>
      </w:r>
      <w:r w:rsidRPr="006D4FA5">
        <w:rPr>
          <w:sz w:val="21"/>
          <w:szCs w:val="21"/>
        </w:rPr>
        <w:tab/>
        <w:t>______________</w:t>
      </w:r>
      <w:r>
        <w:rPr>
          <w:sz w:val="21"/>
          <w:szCs w:val="21"/>
        </w:rPr>
        <w:t xml:space="preserve">       </w:t>
      </w:r>
      <w:r w:rsidRPr="006D4FA5">
        <w:rPr>
          <w:sz w:val="21"/>
          <w:szCs w:val="21"/>
        </w:rPr>
        <w:t>/______</w:t>
      </w:r>
      <w:r>
        <w:rPr>
          <w:sz w:val="21"/>
          <w:szCs w:val="21"/>
        </w:rPr>
        <w:t>_______</w:t>
      </w:r>
      <w:r w:rsidRPr="006D4FA5">
        <w:rPr>
          <w:sz w:val="21"/>
          <w:szCs w:val="21"/>
        </w:rPr>
        <w:t>_/</w:t>
      </w:r>
    </w:p>
    <w:p w:rsidR="00BF3CD4" w:rsidRPr="00545A60" w:rsidRDefault="00BF3CD4" w:rsidP="00BF3CD4">
      <w:pPr>
        <w:rPr>
          <w:i/>
          <w:sz w:val="20"/>
          <w:szCs w:val="20"/>
        </w:rPr>
      </w:pPr>
      <w:r w:rsidRPr="006D4FA5">
        <w:rPr>
          <w:sz w:val="21"/>
          <w:szCs w:val="21"/>
        </w:rPr>
        <w:t xml:space="preserve">  </w:t>
      </w:r>
      <w:r w:rsidRPr="006D4FA5">
        <w:rPr>
          <w:sz w:val="21"/>
          <w:szCs w:val="21"/>
        </w:rPr>
        <w:tab/>
      </w:r>
      <w:r w:rsidRPr="00545A60">
        <w:rPr>
          <w:i/>
          <w:sz w:val="20"/>
          <w:szCs w:val="20"/>
        </w:rPr>
        <w:t xml:space="preserve">     (дата)</w:t>
      </w:r>
      <w:r w:rsidRPr="006D4FA5">
        <w:rPr>
          <w:sz w:val="21"/>
          <w:szCs w:val="21"/>
        </w:rPr>
        <w:tab/>
      </w:r>
      <w:r w:rsidRPr="006D4FA5">
        <w:rPr>
          <w:sz w:val="21"/>
          <w:szCs w:val="21"/>
        </w:rPr>
        <w:tab/>
      </w:r>
      <w:r w:rsidRPr="00545A60">
        <w:rPr>
          <w:i/>
          <w:sz w:val="20"/>
          <w:szCs w:val="20"/>
        </w:rPr>
        <w:t xml:space="preserve">         </w:t>
      </w:r>
      <w:r>
        <w:rPr>
          <w:i/>
          <w:sz w:val="20"/>
          <w:szCs w:val="20"/>
        </w:rPr>
        <w:t xml:space="preserve">                      </w:t>
      </w:r>
      <w:r w:rsidRPr="00545A60">
        <w:rPr>
          <w:i/>
          <w:sz w:val="20"/>
          <w:szCs w:val="20"/>
        </w:rPr>
        <w:t xml:space="preserve">(підпис особи, яка надає згоду на обробку, використання, </w:t>
      </w:r>
    </w:p>
    <w:p w:rsidR="00BF3CD4" w:rsidRPr="00336A81" w:rsidRDefault="00BF3CD4" w:rsidP="00BF3CD4">
      <w:pPr>
        <w:rPr>
          <w:i/>
          <w:sz w:val="20"/>
          <w:szCs w:val="20"/>
        </w:rPr>
      </w:pPr>
      <w:r w:rsidRPr="00545A60">
        <w:rPr>
          <w:i/>
          <w:sz w:val="20"/>
          <w:szCs w:val="20"/>
        </w:rPr>
        <w:t xml:space="preserve">                                                           </w:t>
      </w:r>
      <w:r>
        <w:rPr>
          <w:i/>
          <w:sz w:val="20"/>
          <w:szCs w:val="20"/>
        </w:rPr>
        <w:t xml:space="preserve">                                </w:t>
      </w:r>
      <w:r w:rsidRPr="00545A60">
        <w:rPr>
          <w:i/>
          <w:sz w:val="20"/>
          <w:szCs w:val="20"/>
        </w:rPr>
        <w:t>поширення та доступ</w:t>
      </w:r>
      <w:r>
        <w:rPr>
          <w:i/>
          <w:sz w:val="20"/>
          <w:szCs w:val="20"/>
        </w:rPr>
        <w:t xml:space="preserve"> до її персональних даних, ПІБ)</w:t>
      </w:r>
      <w:r w:rsidRPr="006D4FA5">
        <w:rPr>
          <w:sz w:val="21"/>
          <w:szCs w:val="21"/>
        </w:rPr>
        <w:t xml:space="preserve">    </w:t>
      </w:r>
    </w:p>
    <w:p w:rsidR="00BF3CD4" w:rsidRPr="006D4FA5" w:rsidRDefault="00BF3CD4" w:rsidP="00BF3CD4">
      <w:pPr>
        <w:rPr>
          <w:sz w:val="21"/>
          <w:szCs w:val="21"/>
        </w:rPr>
      </w:pPr>
      <w:r>
        <w:rPr>
          <w:sz w:val="21"/>
          <w:szCs w:val="21"/>
        </w:rPr>
        <w:t>МП</w:t>
      </w:r>
    </w:p>
    <w:p w:rsidR="00BF3CD4" w:rsidRDefault="00BF3CD4" w:rsidP="00BF3CD4">
      <w:pPr>
        <w:contextualSpacing/>
        <w:rPr>
          <w:b/>
          <w:bCs/>
        </w:rPr>
      </w:pPr>
    </w:p>
    <w:p w:rsidR="00BF3CD4" w:rsidRDefault="00BF3CD4" w:rsidP="00BF3CD4">
      <w:pPr>
        <w:tabs>
          <w:tab w:val="left" w:pos="3261"/>
        </w:tabs>
        <w:spacing w:line="264" w:lineRule="auto"/>
        <w:jc w:val="right"/>
        <w:rPr>
          <w:b/>
          <w:sz w:val="22"/>
          <w:szCs w:val="22"/>
        </w:rPr>
      </w:pPr>
    </w:p>
    <w:p w:rsidR="00BF3CD4" w:rsidRDefault="00BF3CD4" w:rsidP="00BF3CD4">
      <w:pPr>
        <w:tabs>
          <w:tab w:val="left" w:pos="3261"/>
        </w:tabs>
        <w:spacing w:line="264" w:lineRule="auto"/>
        <w:jc w:val="right"/>
        <w:rPr>
          <w:b/>
          <w:sz w:val="22"/>
          <w:szCs w:val="22"/>
        </w:rPr>
      </w:pPr>
    </w:p>
    <w:p w:rsidR="00BF3CD4" w:rsidRDefault="00BF3CD4" w:rsidP="00BF3CD4">
      <w:pPr>
        <w:tabs>
          <w:tab w:val="left" w:pos="3261"/>
        </w:tabs>
        <w:spacing w:line="264" w:lineRule="auto"/>
        <w:jc w:val="right"/>
        <w:rPr>
          <w:b/>
          <w:sz w:val="22"/>
          <w:szCs w:val="22"/>
        </w:rPr>
      </w:pPr>
    </w:p>
    <w:p w:rsidR="00BF3CD4" w:rsidRDefault="00BF3CD4" w:rsidP="00BF3CD4">
      <w:pPr>
        <w:tabs>
          <w:tab w:val="left" w:pos="3261"/>
        </w:tabs>
        <w:spacing w:line="264" w:lineRule="auto"/>
        <w:jc w:val="right"/>
        <w:rPr>
          <w:b/>
          <w:sz w:val="22"/>
          <w:szCs w:val="22"/>
        </w:rPr>
      </w:pPr>
    </w:p>
    <w:p w:rsidR="00BF3CD4" w:rsidRDefault="00BF3CD4" w:rsidP="00BF3CD4">
      <w:pPr>
        <w:tabs>
          <w:tab w:val="left" w:pos="3261"/>
        </w:tabs>
        <w:spacing w:line="264" w:lineRule="auto"/>
        <w:jc w:val="right"/>
        <w:rPr>
          <w:b/>
          <w:sz w:val="22"/>
          <w:szCs w:val="22"/>
        </w:rPr>
      </w:pPr>
    </w:p>
    <w:p w:rsidR="00BF3CD4" w:rsidRDefault="00BF3CD4" w:rsidP="00BF3CD4">
      <w:pPr>
        <w:tabs>
          <w:tab w:val="left" w:pos="3261"/>
        </w:tabs>
        <w:spacing w:line="264" w:lineRule="auto"/>
        <w:jc w:val="right"/>
        <w:rPr>
          <w:b/>
          <w:sz w:val="22"/>
          <w:szCs w:val="22"/>
        </w:rPr>
      </w:pPr>
    </w:p>
    <w:p w:rsidR="00BF3CD4" w:rsidRDefault="00BF3CD4" w:rsidP="00141932">
      <w:pPr>
        <w:tabs>
          <w:tab w:val="left" w:pos="3261"/>
        </w:tabs>
        <w:spacing w:line="264" w:lineRule="auto"/>
        <w:rPr>
          <w:b/>
        </w:rPr>
      </w:pPr>
    </w:p>
    <w:p w:rsidR="00BF3CD4" w:rsidRDefault="00BF3CD4" w:rsidP="00BF3CD4">
      <w:pPr>
        <w:tabs>
          <w:tab w:val="left" w:pos="3261"/>
        </w:tabs>
        <w:spacing w:line="264" w:lineRule="auto"/>
        <w:jc w:val="right"/>
        <w:rPr>
          <w:b/>
        </w:rPr>
      </w:pPr>
    </w:p>
    <w:p w:rsidR="00BF3CD4" w:rsidRDefault="00BF3CD4" w:rsidP="00BF3CD4">
      <w:pPr>
        <w:tabs>
          <w:tab w:val="left" w:pos="3261"/>
        </w:tabs>
        <w:spacing w:line="264" w:lineRule="auto"/>
        <w:jc w:val="right"/>
        <w:rPr>
          <w:b/>
        </w:rPr>
      </w:pPr>
    </w:p>
    <w:p w:rsidR="00BF3CD4" w:rsidRDefault="00BF3CD4" w:rsidP="00BF3CD4">
      <w:pPr>
        <w:tabs>
          <w:tab w:val="left" w:pos="3261"/>
        </w:tabs>
        <w:spacing w:line="264" w:lineRule="auto"/>
        <w:rPr>
          <w:b/>
        </w:rPr>
      </w:pPr>
    </w:p>
    <w:p w:rsidR="00456007" w:rsidRDefault="00456007" w:rsidP="00456007">
      <w:pPr>
        <w:jc w:val="right"/>
        <w:rPr>
          <w:b/>
          <w:bCs/>
        </w:rPr>
      </w:pPr>
    </w:p>
    <w:p w:rsidR="00EC3242" w:rsidRDefault="00EC3242" w:rsidP="00456007">
      <w:pPr>
        <w:jc w:val="right"/>
        <w:rPr>
          <w:b/>
          <w:bCs/>
        </w:rPr>
      </w:pPr>
    </w:p>
    <w:p w:rsidR="00EC3242" w:rsidRDefault="00EC3242" w:rsidP="00456007">
      <w:pPr>
        <w:jc w:val="right"/>
        <w:rPr>
          <w:b/>
          <w:bCs/>
        </w:rPr>
      </w:pPr>
    </w:p>
    <w:p w:rsidR="00EC3242" w:rsidRDefault="00EC3242" w:rsidP="00456007">
      <w:pPr>
        <w:jc w:val="right"/>
        <w:rPr>
          <w:b/>
          <w:bCs/>
        </w:rPr>
      </w:pPr>
    </w:p>
    <w:p w:rsidR="00206107" w:rsidRDefault="00206107" w:rsidP="00456007">
      <w:pPr>
        <w:jc w:val="right"/>
        <w:rPr>
          <w:b/>
          <w:bCs/>
        </w:rPr>
      </w:pPr>
    </w:p>
    <w:p w:rsidR="00206107" w:rsidRDefault="00206107" w:rsidP="00456007">
      <w:pPr>
        <w:jc w:val="right"/>
        <w:rPr>
          <w:b/>
          <w:bCs/>
        </w:rPr>
      </w:pPr>
    </w:p>
    <w:p w:rsidR="00206107" w:rsidRDefault="00206107" w:rsidP="00456007">
      <w:pPr>
        <w:jc w:val="right"/>
        <w:rPr>
          <w:b/>
          <w:bCs/>
        </w:rPr>
      </w:pPr>
    </w:p>
    <w:p w:rsidR="00206107" w:rsidRDefault="00206107" w:rsidP="00456007">
      <w:pPr>
        <w:jc w:val="right"/>
        <w:rPr>
          <w:b/>
          <w:bCs/>
        </w:rPr>
      </w:pPr>
    </w:p>
    <w:sectPr w:rsidR="00206107" w:rsidSect="00EC324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91DBD"/>
    <w:multiLevelType w:val="hybridMultilevel"/>
    <w:tmpl w:val="2280D6F0"/>
    <w:lvl w:ilvl="0" w:tplc="18FE2B22">
      <w:start w:val="161"/>
      <w:numFmt w:val="bullet"/>
      <w:lvlText w:val="-"/>
      <w:lvlJc w:val="left"/>
      <w:pPr>
        <w:ind w:left="720" w:hanging="360"/>
      </w:pPr>
      <w:rPr>
        <w:rFonts w:ascii="Times New Roman" w:eastAsia="Calibri" w:hAnsi="Times New Roman" w:cs="Times New Roman" w:hint="default"/>
        <w:color w:val="auto"/>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0EC1A2A"/>
    <w:multiLevelType w:val="hybridMultilevel"/>
    <w:tmpl w:val="D6EE11B2"/>
    <w:lvl w:ilvl="0" w:tplc="3876696A">
      <w:start w:val="1"/>
      <w:numFmt w:val="decimal"/>
      <w:lvlText w:val="%1."/>
      <w:lvlJc w:val="left"/>
      <w:pPr>
        <w:ind w:left="502" w:hanging="360"/>
      </w:pPr>
      <w:rPr>
        <w:rFonts w:hint="default"/>
        <w:b w:val="0"/>
        <w:sz w:val="22"/>
        <w:szCs w:val="22"/>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3CD4"/>
    <w:rsid w:val="00060B78"/>
    <w:rsid w:val="00062FB6"/>
    <w:rsid w:val="00141932"/>
    <w:rsid w:val="0014528C"/>
    <w:rsid w:val="00206107"/>
    <w:rsid w:val="00210243"/>
    <w:rsid w:val="00230F3A"/>
    <w:rsid w:val="002402C0"/>
    <w:rsid w:val="00255B0C"/>
    <w:rsid w:val="00334CD5"/>
    <w:rsid w:val="003D34D7"/>
    <w:rsid w:val="00456007"/>
    <w:rsid w:val="00490A37"/>
    <w:rsid w:val="00503ED1"/>
    <w:rsid w:val="005E6303"/>
    <w:rsid w:val="007B57E1"/>
    <w:rsid w:val="00806317"/>
    <w:rsid w:val="008D07EB"/>
    <w:rsid w:val="008E1A86"/>
    <w:rsid w:val="00981365"/>
    <w:rsid w:val="009F6D63"/>
    <w:rsid w:val="00A44594"/>
    <w:rsid w:val="00AE5833"/>
    <w:rsid w:val="00B63C8A"/>
    <w:rsid w:val="00BB00A9"/>
    <w:rsid w:val="00BF3CD4"/>
    <w:rsid w:val="00CA5048"/>
    <w:rsid w:val="00E16228"/>
    <w:rsid w:val="00EC3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D4"/>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заголовок 1.1"/>
    <w:basedOn w:val="a"/>
    <w:link w:val="a4"/>
    <w:uiPriority w:val="99"/>
    <w:qFormat/>
    <w:rsid w:val="00BF3CD4"/>
    <w:pPr>
      <w:spacing w:after="200" w:line="276" w:lineRule="auto"/>
      <w:ind w:left="720"/>
    </w:pPr>
    <w:rPr>
      <w:rFonts w:ascii="Calibri" w:eastAsia="Calibri" w:hAnsi="Calibri"/>
      <w:sz w:val="20"/>
      <w:szCs w:val="20"/>
    </w:rPr>
  </w:style>
  <w:style w:type="paragraph" w:styleId="2">
    <w:name w:val="Body Text 2"/>
    <w:basedOn w:val="a"/>
    <w:link w:val="20"/>
    <w:uiPriority w:val="99"/>
    <w:rsid w:val="00BF3CD4"/>
    <w:pPr>
      <w:widowControl w:val="0"/>
      <w:suppressAutoHyphens w:val="0"/>
      <w:autoSpaceDE w:val="0"/>
      <w:autoSpaceDN w:val="0"/>
      <w:adjustRightInd w:val="0"/>
      <w:spacing w:after="120" w:line="480" w:lineRule="auto"/>
    </w:pPr>
    <w:rPr>
      <w:rFonts w:ascii="Calibri" w:eastAsia="Calibri" w:hAnsi="Calibri"/>
      <w:szCs w:val="20"/>
      <w:lang w:val="ru-RU" w:eastAsia="ru-RU"/>
    </w:rPr>
  </w:style>
  <w:style w:type="character" w:customStyle="1" w:styleId="20">
    <w:name w:val="Основной текст 2 Знак"/>
    <w:basedOn w:val="a0"/>
    <w:link w:val="2"/>
    <w:uiPriority w:val="99"/>
    <w:rsid w:val="00BF3CD4"/>
    <w:rPr>
      <w:rFonts w:ascii="Calibri" w:eastAsia="Calibri" w:hAnsi="Calibri" w:cs="Times New Roman"/>
      <w:sz w:val="24"/>
      <w:szCs w:val="20"/>
      <w:lang w:eastAsia="ru-RU"/>
    </w:rPr>
  </w:style>
  <w:style w:type="paragraph" w:customStyle="1" w:styleId="1">
    <w:name w:val="Обычный1"/>
    <w:rsid w:val="00BF3CD4"/>
    <w:pPr>
      <w:widowControl w:val="0"/>
      <w:spacing w:after="0" w:line="240" w:lineRule="auto"/>
    </w:pPr>
    <w:rPr>
      <w:rFonts w:ascii="Times New Roman CYR" w:eastAsia="Times New Roman" w:hAnsi="Times New Roman CYR" w:cs="Times New Roman"/>
      <w:sz w:val="24"/>
      <w:szCs w:val="20"/>
      <w:lang w:eastAsia="ru-RU"/>
    </w:rPr>
  </w:style>
  <w:style w:type="character" w:customStyle="1" w:styleId="Hyperlink2">
    <w:name w:val="Hyperlink.2"/>
    <w:uiPriority w:val="99"/>
    <w:rsid w:val="00BF3CD4"/>
    <w:rPr>
      <w:lang w:val="ru-RU"/>
    </w:rPr>
  </w:style>
  <w:style w:type="paragraph" w:customStyle="1" w:styleId="22">
    <w:name w:val="Основной текст с отступом 22"/>
    <w:basedOn w:val="a"/>
    <w:uiPriority w:val="99"/>
    <w:rsid w:val="00BF3CD4"/>
    <w:pPr>
      <w:suppressAutoHyphens w:val="0"/>
      <w:spacing w:after="120" w:line="480" w:lineRule="auto"/>
      <w:ind w:left="283"/>
    </w:pPr>
    <w:rPr>
      <w:rFonts w:ascii="Calibri" w:hAnsi="Calibri" w:cs="Calibri"/>
      <w:sz w:val="22"/>
      <w:szCs w:val="22"/>
      <w:lang w:val="ru-RU"/>
    </w:rPr>
  </w:style>
  <w:style w:type="character" w:customStyle="1" w:styleId="a4">
    <w:name w:val="Абзац списка Знак"/>
    <w:aliases w:val="Список уровня 2 Знак,название табл/рис Знак,заголовок 1.1 Знак"/>
    <w:link w:val="a3"/>
    <w:uiPriority w:val="99"/>
    <w:locked/>
    <w:rsid w:val="00BF3CD4"/>
    <w:rPr>
      <w:rFonts w:ascii="Calibri" w:eastAsia="Calibri" w:hAnsi="Calibri" w:cs="Times New Roman"/>
      <w:sz w:val="20"/>
      <w:szCs w:val="20"/>
      <w:lang w:val="uk-UA" w:eastAsia="ar-S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semiHidden/>
    <w:qFormat/>
    <w:locked/>
    <w:rsid w:val="00EC3242"/>
    <w:rPr>
      <w:sz w:val="24"/>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
    <w:basedOn w:val="a"/>
    <w:link w:val="a5"/>
    <w:semiHidden/>
    <w:unhideWhenUsed/>
    <w:qFormat/>
    <w:rsid w:val="00EC3242"/>
    <w:pPr>
      <w:suppressAutoHyphens w:val="0"/>
      <w:spacing w:before="100" w:beforeAutospacing="1" w:after="100" w:afterAutospacing="1"/>
    </w:pPr>
    <w:rPr>
      <w:rFonts w:asciiTheme="minorHAnsi" w:eastAsiaTheme="minorHAnsi" w:hAnsiTheme="minorHAnsi" w:cstheme="minorBidi"/>
      <w:szCs w:val="22"/>
      <w:lang w:val="ru-RU" w:eastAsia="en-US"/>
    </w:rPr>
  </w:style>
</w:styles>
</file>

<file path=word/webSettings.xml><?xml version="1.0" encoding="utf-8"?>
<w:webSettings xmlns:r="http://schemas.openxmlformats.org/officeDocument/2006/relationships" xmlns:w="http://schemas.openxmlformats.org/wordprocessingml/2006/main">
  <w:divs>
    <w:div w:id="9605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PC11</cp:lastModifiedBy>
  <cp:revision>18</cp:revision>
  <cp:lastPrinted>2024-03-04T12:52:00Z</cp:lastPrinted>
  <dcterms:created xsi:type="dcterms:W3CDTF">2024-02-22T11:55:00Z</dcterms:created>
  <dcterms:modified xsi:type="dcterms:W3CDTF">2024-03-22T12:26:00Z</dcterms:modified>
</cp:coreProperties>
</file>