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FF11FC" w:rsidRDefault="001B393A" w:rsidP="00D41481">
      <w:pPr>
        <w:ind w:firstLine="426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FF11FC" w:rsidRPr="00FF11FC">
        <w:rPr>
          <w:sz w:val="24"/>
          <w:szCs w:val="24"/>
          <w:lang w:val="uk-UA"/>
        </w:rPr>
        <w:t>код CPV 42120000-6 по ДК 021:2015 - Насоси та компресори (ЗІП до газодувки)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FF11FC">
        <w:rPr>
          <w:sz w:val="24"/>
          <w:szCs w:val="24"/>
          <w:lang w:val="uk-UA" w:eastAsia="uk-UA"/>
        </w:rPr>
        <w:t>2021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FF11FC">
        <w:rPr>
          <w:sz w:val="24"/>
          <w:szCs w:val="24"/>
          <w:lang w:val="uk-UA"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>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CB7868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CB7868">
        <w:rPr>
          <w:sz w:val="24"/>
          <w:szCs w:val="24"/>
        </w:rPr>
        <w:t>1</w:t>
      </w:r>
      <w:r w:rsidRPr="00CB7868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CB7868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CB7868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CB7868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п.п.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FF11FC">
        <w:rPr>
          <w:b/>
          <w:sz w:val="24"/>
          <w:szCs w:val="24"/>
          <w:lang w:val="uk-UA"/>
        </w:rPr>
        <w:t>20.12.2022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bookmarkStart w:id="0" w:name="_GoBack"/>
      <w:bookmarkEnd w:id="0"/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CB7868">
        <w:rPr>
          <w:sz w:val="24"/>
          <w:szCs w:val="24"/>
          <w:lang w:val="uk-UA"/>
        </w:rPr>
        <w:t xml:space="preserve">адське господарство», </w:t>
      </w:r>
      <w:r w:rsidR="00DC7FB4" w:rsidRPr="00820355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FF11FC" w:rsidRDefault="00294D47" w:rsidP="00827DFC">
      <w:pPr>
        <w:spacing w:before="30" w:after="3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(паспорт або сертифікат, тощо)</w:t>
      </w:r>
      <w:r w:rsidR="006321C8" w:rsidRPr="00820355">
        <w:rPr>
          <w:sz w:val="24"/>
          <w:szCs w:val="24"/>
          <w:lang w:val="uk-UA"/>
        </w:rPr>
        <w:t xml:space="preserve"> 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FF11FC">
        <w:rPr>
          <w:sz w:val="24"/>
          <w:szCs w:val="24"/>
          <w:lang w:val="uk-UA"/>
        </w:rPr>
        <w:t xml:space="preserve">30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</w:t>
      </w:r>
      <w:r w:rsidRPr="006231D0">
        <w:rPr>
          <w:sz w:val="24"/>
          <w:szCs w:val="24"/>
          <w:lang w:val="uk-UA" w:eastAsia="uk-UA"/>
        </w:rPr>
        <w:lastRenderedPageBreak/>
        <w:t xml:space="preserve">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lastRenderedPageBreak/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Ціна,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 xml:space="preserve">грн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>грн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4C" w:rsidRDefault="00F92E4C">
      <w:r>
        <w:separator/>
      </w:r>
    </w:p>
  </w:endnote>
  <w:endnote w:type="continuationSeparator" w:id="0">
    <w:p w:rsidR="00F92E4C" w:rsidRDefault="00F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68">
          <w:rPr>
            <w:noProof/>
          </w:rPr>
          <w:t>1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4C" w:rsidRDefault="00F92E4C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F92E4C" w:rsidRDefault="00F9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5BDC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868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2E4C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11FC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41315D-DBB7-4B7F-8EA7-2D144E3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C7A7-E111-4D8D-818F-BA6B56E2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20863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16</cp:revision>
  <cp:lastPrinted>2022-08-17T06:47:00Z</cp:lastPrinted>
  <dcterms:created xsi:type="dcterms:W3CDTF">2022-01-27T11:55:00Z</dcterms:created>
  <dcterms:modified xsi:type="dcterms:W3CDTF">2022-08-17T06:47:00Z</dcterms:modified>
</cp:coreProperties>
</file>