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33" w:rsidRDefault="003B6133" w:rsidP="003B6133">
      <w:pPr>
        <w:ind w:left="6237"/>
        <w:jc w:val="right"/>
        <w:rPr>
          <w:b/>
          <w:sz w:val="20"/>
          <w:szCs w:val="20"/>
        </w:rPr>
      </w:pPr>
      <w:r w:rsidRPr="00802D87">
        <w:rPr>
          <w:b/>
          <w:sz w:val="20"/>
          <w:szCs w:val="20"/>
        </w:rPr>
        <w:t xml:space="preserve">Додаток </w:t>
      </w:r>
      <w:r>
        <w:rPr>
          <w:b/>
          <w:sz w:val="20"/>
          <w:szCs w:val="20"/>
        </w:rPr>
        <w:t>2</w:t>
      </w:r>
    </w:p>
    <w:p w:rsidR="003B6133" w:rsidRPr="00802D87" w:rsidRDefault="003B6133" w:rsidP="003B6133">
      <w:pPr>
        <w:ind w:left="6237"/>
        <w:jc w:val="right"/>
        <w:rPr>
          <w:sz w:val="20"/>
          <w:szCs w:val="20"/>
        </w:rPr>
      </w:pPr>
      <w:r w:rsidRPr="00802D87">
        <w:rPr>
          <w:sz w:val="20"/>
          <w:szCs w:val="20"/>
        </w:rPr>
        <w:t>до тендерної документації</w:t>
      </w:r>
    </w:p>
    <w:p w:rsidR="003B6133" w:rsidRPr="00802D87" w:rsidRDefault="003B6133" w:rsidP="003B6133">
      <w:pPr>
        <w:ind w:left="708" w:hanging="708"/>
        <w:jc w:val="center"/>
        <w:rPr>
          <w:b/>
          <w:iCs/>
          <w:lang w:eastAsia="en-US"/>
        </w:rPr>
      </w:pPr>
    </w:p>
    <w:p w:rsidR="003B6133" w:rsidRPr="00C62B0B" w:rsidRDefault="003B6133" w:rsidP="003B6133">
      <w:pPr>
        <w:jc w:val="center"/>
        <w:rPr>
          <w:b/>
          <w:bCs/>
        </w:rPr>
      </w:pPr>
      <w:r w:rsidRPr="00C62B0B">
        <w:rPr>
          <w:b/>
          <w:bCs/>
        </w:rPr>
        <w:t>Інформація</w:t>
      </w:r>
    </w:p>
    <w:p w:rsidR="003B6133" w:rsidRPr="00C62B0B" w:rsidRDefault="003B6133" w:rsidP="003B6133">
      <w:pPr>
        <w:jc w:val="center"/>
        <w:rPr>
          <w:b/>
          <w:bCs/>
        </w:rPr>
      </w:pPr>
      <w:r w:rsidRPr="00C62B0B">
        <w:rPr>
          <w:b/>
          <w:bCs/>
        </w:rPr>
        <w:t xml:space="preserve">про необхідні технічні, якісні та кількісні характеристики предмета закупівлі </w:t>
      </w:r>
    </w:p>
    <w:p w:rsidR="003B6133" w:rsidRDefault="003B6133" w:rsidP="003B6133">
      <w:pPr>
        <w:jc w:val="center"/>
        <w:rPr>
          <w:b/>
          <w:bCs/>
        </w:rPr>
      </w:pPr>
    </w:p>
    <w:p w:rsidR="003B6133" w:rsidRPr="00333915" w:rsidRDefault="003B6133" w:rsidP="003B6133">
      <w:pPr>
        <w:jc w:val="center"/>
        <w:rPr>
          <w:b/>
          <w:bCs/>
        </w:rPr>
      </w:pPr>
      <w:r w:rsidRPr="00C62B0B">
        <w:rPr>
          <w:b/>
          <w:bCs/>
        </w:rPr>
        <w:t>Н</w:t>
      </w:r>
      <w:r>
        <w:rPr>
          <w:b/>
          <w:bCs/>
        </w:rPr>
        <w:t>айменування предмета закупівлі:</w:t>
      </w:r>
    </w:p>
    <w:p w:rsidR="003B6133" w:rsidRPr="00E01DCB" w:rsidRDefault="003B6133" w:rsidP="003B6133">
      <w:pPr>
        <w:jc w:val="center"/>
        <w:rPr>
          <w:b/>
          <w:color w:val="000000"/>
        </w:rPr>
      </w:pPr>
      <w:r w:rsidRPr="00E01DCB">
        <w:rPr>
          <w:b/>
          <w:color w:val="000000"/>
        </w:rPr>
        <w:t xml:space="preserve">ДК 021:2015 </w:t>
      </w:r>
      <w:r>
        <w:rPr>
          <w:b/>
          <w:color w:val="000000"/>
        </w:rPr>
        <w:t>641</w:t>
      </w:r>
      <w:r w:rsidRPr="00E01DCB">
        <w:rPr>
          <w:b/>
          <w:color w:val="000000"/>
        </w:rPr>
        <w:t>10000-</w:t>
      </w:r>
      <w:r>
        <w:rPr>
          <w:b/>
          <w:color w:val="000000"/>
        </w:rPr>
        <w:t>0</w:t>
      </w:r>
      <w:r w:rsidRPr="00E01DCB">
        <w:rPr>
          <w:b/>
          <w:color w:val="000000"/>
        </w:rPr>
        <w:t xml:space="preserve"> </w:t>
      </w:r>
      <w:r>
        <w:rPr>
          <w:b/>
          <w:color w:val="000000"/>
        </w:rPr>
        <w:t>Поштові послуги</w:t>
      </w:r>
    </w:p>
    <w:p w:rsidR="003B6133" w:rsidRDefault="003B6133" w:rsidP="003B6133">
      <w:pPr>
        <w:jc w:val="center"/>
        <w:rPr>
          <w:b/>
        </w:rPr>
      </w:pPr>
      <w:r>
        <w:rPr>
          <w:b/>
        </w:rPr>
        <w:t>(у</w:t>
      </w:r>
      <w:r w:rsidRPr="00CD4C6D">
        <w:rPr>
          <w:b/>
        </w:rPr>
        <w:t xml:space="preserve">ніверсальні послуги поштового зв’язку з пересилання поштових карток, листів, бандеролей  </w:t>
      </w:r>
      <w:r>
        <w:rPr>
          <w:b/>
        </w:rPr>
        <w:t>(простих та рекомендованих)</w:t>
      </w:r>
      <w:r w:rsidRPr="00CD4C6D">
        <w:rPr>
          <w:b/>
        </w:rPr>
        <w:t xml:space="preserve"> з використанням відбитка про оп</w:t>
      </w:r>
      <w:r>
        <w:rPr>
          <w:b/>
        </w:rPr>
        <w:t>лату на всій території України)</w:t>
      </w:r>
    </w:p>
    <w:p w:rsidR="003B6133" w:rsidRPr="00E01DCB" w:rsidRDefault="003B6133" w:rsidP="003B6133">
      <w:pPr>
        <w:jc w:val="center"/>
        <w:rPr>
          <w:b/>
          <w:bCs/>
          <w:color w:val="000000"/>
        </w:rPr>
      </w:pPr>
    </w:p>
    <w:p w:rsidR="003B6133" w:rsidRDefault="003B6133" w:rsidP="003B6133">
      <w:pPr>
        <w:ind w:firstLine="284"/>
        <w:contextualSpacing/>
        <w:jc w:val="both"/>
        <w:rPr>
          <w:b/>
          <w:bCs/>
          <w:color w:val="000000"/>
          <w:lang w:eastAsia="ru-RU"/>
        </w:rPr>
      </w:pPr>
      <w:r w:rsidRPr="00E01DCB">
        <w:rPr>
          <w:b/>
          <w:bCs/>
          <w:color w:val="000000"/>
          <w:lang w:eastAsia="ru-RU"/>
        </w:rPr>
        <w:t>І. Кількість та опис усіх необхідних характеристик предмета закупівлі (техніч</w:t>
      </w:r>
      <w:r>
        <w:rPr>
          <w:b/>
          <w:bCs/>
          <w:color w:val="000000"/>
          <w:lang w:eastAsia="ru-RU"/>
        </w:rPr>
        <w:t>на 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427"/>
        <w:gridCol w:w="2424"/>
        <w:gridCol w:w="2591"/>
      </w:tblGrid>
      <w:tr w:rsidR="003B6133" w:rsidRPr="00104973" w:rsidTr="005F618B">
        <w:tc>
          <w:tcPr>
            <w:tcW w:w="2463" w:type="dxa"/>
            <w:vMerge w:val="restart"/>
            <w:shd w:val="clear" w:color="auto" w:fill="auto"/>
            <w:vAlign w:val="center"/>
          </w:tcPr>
          <w:p w:rsidR="003B6133" w:rsidRPr="00104973" w:rsidRDefault="003B6133" w:rsidP="005F618B">
            <w:pPr>
              <w:ind w:right="-86"/>
              <w:contextualSpacing/>
              <w:jc w:val="center"/>
              <w:rPr>
                <w:b/>
                <w:bCs/>
                <w:color w:val="000000"/>
                <w:lang w:eastAsia="ru-RU"/>
              </w:rPr>
            </w:pPr>
            <w:r w:rsidRPr="00104973">
              <w:rPr>
                <w:b/>
                <w:bCs/>
                <w:color w:val="000000"/>
                <w:lang w:eastAsia="ru-RU"/>
              </w:rPr>
              <w:t>Маса відправлення</w:t>
            </w:r>
          </w:p>
        </w:tc>
        <w:tc>
          <w:tcPr>
            <w:tcW w:w="2464" w:type="dxa"/>
            <w:shd w:val="clear" w:color="auto" w:fill="auto"/>
            <w:vAlign w:val="center"/>
          </w:tcPr>
          <w:p w:rsidR="003B6133" w:rsidRPr="00104973" w:rsidRDefault="003B6133" w:rsidP="005F618B">
            <w:pPr>
              <w:ind w:right="-86"/>
              <w:contextualSpacing/>
              <w:jc w:val="center"/>
              <w:rPr>
                <w:b/>
                <w:bCs/>
                <w:color w:val="000000"/>
                <w:lang w:eastAsia="ru-RU"/>
              </w:rPr>
            </w:pPr>
            <w:r w:rsidRPr="00104973">
              <w:rPr>
                <w:b/>
                <w:bCs/>
                <w:color w:val="000000"/>
                <w:lang w:eastAsia="ru-RU"/>
              </w:rPr>
              <w:t>Проста письмова  кореспонденція (листи, поштові картки (листівки)</w:t>
            </w:r>
          </w:p>
        </w:tc>
        <w:tc>
          <w:tcPr>
            <w:tcW w:w="2464" w:type="dxa"/>
            <w:shd w:val="clear" w:color="auto" w:fill="auto"/>
            <w:vAlign w:val="center"/>
          </w:tcPr>
          <w:p w:rsidR="003B6133" w:rsidRPr="00104973" w:rsidRDefault="003B6133" w:rsidP="005F618B">
            <w:pPr>
              <w:ind w:right="-86"/>
              <w:contextualSpacing/>
              <w:jc w:val="center"/>
              <w:rPr>
                <w:b/>
                <w:bCs/>
                <w:color w:val="000000"/>
                <w:lang w:eastAsia="ru-RU"/>
              </w:rPr>
            </w:pPr>
            <w:r w:rsidRPr="00104973">
              <w:rPr>
                <w:b/>
                <w:bCs/>
                <w:color w:val="000000"/>
                <w:lang w:eastAsia="ru-RU"/>
              </w:rPr>
              <w:t>Рекомендоване відправлення</w:t>
            </w:r>
          </w:p>
        </w:tc>
        <w:tc>
          <w:tcPr>
            <w:tcW w:w="2640" w:type="dxa"/>
            <w:shd w:val="clear" w:color="auto" w:fill="auto"/>
            <w:vAlign w:val="center"/>
          </w:tcPr>
          <w:p w:rsidR="003B6133" w:rsidRPr="00104973" w:rsidRDefault="003B6133" w:rsidP="005F618B">
            <w:pPr>
              <w:ind w:right="-86"/>
              <w:contextualSpacing/>
              <w:jc w:val="center"/>
              <w:rPr>
                <w:b/>
                <w:bCs/>
                <w:color w:val="000000"/>
                <w:lang w:eastAsia="ru-RU"/>
              </w:rPr>
            </w:pPr>
            <w:r w:rsidRPr="00104973">
              <w:rPr>
                <w:b/>
                <w:bCs/>
                <w:color w:val="000000"/>
                <w:lang w:eastAsia="ru-RU"/>
              </w:rPr>
              <w:t>Рекомендоване відправлення з повідомленням</w:t>
            </w:r>
          </w:p>
        </w:tc>
      </w:tr>
      <w:tr w:rsidR="003B6133" w:rsidRPr="00104973" w:rsidTr="005F618B">
        <w:tc>
          <w:tcPr>
            <w:tcW w:w="2463" w:type="dxa"/>
            <w:vMerge/>
            <w:shd w:val="clear" w:color="auto" w:fill="auto"/>
            <w:vAlign w:val="center"/>
          </w:tcPr>
          <w:p w:rsidR="003B6133" w:rsidRPr="00104973" w:rsidRDefault="003B6133" w:rsidP="005F618B">
            <w:pPr>
              <w:ind w:right="-86"/>
              <w:contextualSpacing/>
              <w:jc w:val="center"/>
              <w:rPr>
                <w:b/>
                <w:bCs/>
                <w:color w:val="000000"/>
                <w:lang w:eastAsia="ru-RU"/>
              </w:rPr>
            </w:pPr>
          </w:p>
        </w:tc>
        <w:tc>
          <w:tcPr>
            <w:tcW w:w="2464" w:type="dxa"/>
            <w:shd w:val="clear" w:color="auto" w:fill="auto"/>
            <w:vAlign w:val="center"/>
          </w:tcPr>
          <w:p w:rsidR="003B6133" w:rsidRPr="00104973" w:rsidRDefault="003B6133" w:rsidP="005F618B">
            <w:pPr>
              <w:ind w:right="-86"/>
              <w:contextualSpacing/>
              <w:jc w:val="center"/>
              <w:rPr>
                <w:b/>
                <w:bCs/>
                <w:color w:val="000000"/>
                <w:lang w:eastAsia="ru-RU"/>
              </w:rPr>
            </w:pPr>
            <w:r w:rsidRPr="00104973">
              <w:rPr>
                <w:b/>
                <w:bCs/>
                <w:color w:val="000000"/>
                <w:lang w:eastAsia="ru-RU"/>
              </w:rPr>
              <w:t>Орієнтовна кількість відправлень (</w:t>
            </w:r>
            <w:proofErr w:type="spellStart"/>
            <w:r w:rsidRPr="00104973">
              <w:rPr>
                <w:b/>
                <w:bCs/>
                <w:color w:val="000000"/>
                <w:lang w:eastAsia="ru-RU"/>
              </w:rPr>
              <w:t>шт</w:t>
            </w:r>
            <w:proofErr w:type="spellEnd"/>
            <w:r w:rsidRPr="00104973">
              <w:rPr>
                <w:b/>
                <w:bCs/>
                <w:color w:val="000000"/>
                <w:lang w:eastAsia="ru-RU"/>
              </w:rPr>
              <w:t>)</w:t>
            </w:r>
          </w:p>
        </w:tc>
        <w:tc>
          <w:tcPr>
            <w:tcW w:w="2464" w:type="dxa"/>
            <w:shd w:val="clear" w:color="auto" w:fill="auto"/>
            <w:vAlign w:val="center"/>
          </w:tcPr>
          <w:p w:rsidR="003B6133" w:rsidRPr="00104973" w:rsidRDefault="003B6133" w:rsidP="005F618B">
            <w:pPr>
              <w:ind w:right="-86"/>
              <w:contextualSpacing/>
              <w:jc w:val="center"/>
              <w:rPr>
                <w:b/>
                <w:bCs/>
                <w:color w:val="000000"/>
                <w:lang w:eastAsia="ru-RU"/>
              </w:rPr>
            </w:pPr>
            <w:r w:rsidRPr="00104973">
              <w:rPr>
                <w:b/>
                <w:bCs/>
                <w:color w:val="000000"/>
                <w:lang w:eastAsia="ru-RU"/>
              </w:rPr>
              <w:t>Орієнтовна кількість відправлень (</w:t>
            </w:r>
            <w:proofErr w:type="spellStart"/>
            <w:r w:rsidRPr="00104973">
              <w:rPr>
                <w:b/>
                <w:bCs/>
                <w:color w:val="000000"/>
                <w:lang w:eastAsia="ru-RU"/>
              </w:rPr>
              <w:t>шт</w:t>
            </w:r>
            <w:proofErr w:type="spellEnd"/>
            <w:r w:rsidRPr="00104973">
              <w:rPr>
                <w:b/>
                <w:bCs/>
                <w:color w:val="000000"/>
                <w:lang w:eastAsia="ru-RU"/>
              </w:rPr>
              <w:t>)</w:t>
            </w:r>
          </w:p>
        </w:tc>
        <w:tc>
          <w:tcPr>
            <w:tcW w:w="2640" w:type="dxa"/>
            <w:shd w:val="clear" w:color="auto" w:fill="auto"/>
            <w:vAlign w:val="center"/>
          </w:tcPr>
          <w:p w:rsidR="003B6133" w:rsidRPr="00104973" w:rsidRDefault="003B6133" w:rsidP="005F618B">
            <w:pPr>
              <w:ind w:right="-86"/>
              <w:contextualSpacing/>
              <w:jc w:val="center"/>
              <w:rPr>
                <w:b/>
                <w:bCs/>
                <w:color w:val="000000"/>
                <w:lang w:eastAsia="ru-RU"/>
              </w:rPr>
            </w:pPr>
            <w:r w:rsidRPr="00104973">
              <w:rPr>
                <w:b/>
                <w:bCs/>
                <w:color w:val="000000"/>
                <w:lang w:eastAsia="ru-RU"/>
              </w:rPr>
              <w:t>Орієнтовна кількість відправлень (</w:t>
            </w:r>
            <w:proofErr w:type="spellStart"/>
            <w:r w:rsidRPr="00104973">
              <w:rPr>
                <w:b/>
                <w:bCs/>
                <w:color w:val="000000"/>
                <w:lang w:eastAsia="ru-RU"/>
              </w:rPr>
              <w:t>шт</w:t>
            </w:r>
            <w:proofErr w:type="spellEnd"/>
            <w:r w:rsidRPr="00104973">
              <w:rPr>
                <w:b/>
                <w:bCs/>
                <w:color w:val="000000"/>
                <w:lang w:eastAsia="ru-RU"/>
              </w:rPr>
              <w:t>)</w:t>
            </w:r>
          </w:p>
        </w:tc>
      </w:tr>
      <w:tr w:rsidR="003B6133" w:rsidRPr="00104973" w:rsidTr="005F618B">
        <w:tc>
          <w:tcPr>
            <w:tcW w:w="2463" w:type="dxa"/>
            <w:shd w:val="clear" w:color="auto" w:fill="auto"/>
          </w:tcPr>
          <w:p w:rsidR="003B6133" w:rsidRPr="00104973" w:rsidRDefault="003B6133" w:rsidP="005F618B">
            <w:pPr>
              <w:ind w:right="-86"/>
              <w:contextualSpacing/>
              <w:jc w:val="both"/>
              <w:rPr>
                <w:bCs/>
                <w:color w:val="000000"/>
                <w:lang w:eastAsia="ru-RU"/>
              </w:rPr>
            </w:pPr>
            <w:r w:rsidRPr="00104973">
              <w:rPr>
                <w:bCs/>
                <w:color w:val="000000"/>
                <w:lang w:eastAsia="ru-RU"/>
              </w:rPr>
              <w:t>до 50 г включно</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3000</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160</w:t>
            </w:r>
          </w:p>
        </w:tc>
        <w:tc>
          <w:tcPr>
            <w:tcW w:w="2640"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1000</w:t>
            </w:r>
          </w:p>
        </w:tc>
      </w:tr>
      <w:tr w:rsidR="003B6133" w:rsidRPr="00104973" w:rsidTr="005F618B">
        <w:tc>
          <w:tcPr>
            <w:tcW w:w="2463" w:type="dxa"/>
            <w:shd w:val="clear" w:color="auto" w:fill="auto"/>
          </w:tcPr>
          <w:p w:rsidR="003B6133" w:rsidRPr="00104973" w:rsidRDefault="003B6133" w:rsidP="005F618B">
            <w:pPr>
              <w:ind w:right="-86"/>
              <w:contextualSpacing/>
              <w:jc w:val="both"/>
              <w:rPr>
                <w:bCs/>
                <w:color w:val="000000"/>
                <w:lang w:eastAsia="ru-RU"/>
              </w:rPr>
            </w:pPr>
            <w:r w:rsidRPr="00104973">
              <w:rPr>
                <w:bCs/>
                <w:color w:val="000000"/>
                <w:lang w:eastAsia="ru-RU"/>
              </w:rPr>
              <w:t>понад 50 г до 250 г</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400</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100</w:t>
            </w:r>
          </w:p>
        </w:tc>
        <w:tc>
          <w:tcPr>
            <w:tcW w:w="2640"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1000</w:t>
            </w:r>
          </w:p>
        </w:tc>
      </w:tr>
      <w:tr w:rsidR="003B6133" w:rsidRPr="00104973" w:rsidTr="005F618B">
        <w:tc>
          <w:tcPr>
            <w:tcW w:w="2463" w:type="dxa"/>
            <w:shd w:val="clear" w:color="auto" w:fill="auto"/>
          </w:tcPr>
          <w:p w:rsidR="003B6133" w:rsidRPr="00104973" w:rsidRDefault="003B6133" w:rsidP="005F618B">
            <w:pPr>
              <w:ind w:right="-86"/>
              <w:contextualSpacing/>
              <w:jc w:val="both"/>
              <w:rPr>
                <w:bCs/>
                <w:color w:val="000000"/>
                <w:lang w:eastAsia="ru-RU"/>
              </w:rPr>
            </w:pPr>
            <w:r w:rsidRPr="00104973">
              <w:rPr>
                <w:bCs/>
                <w:color w:val="000000"/>
                <w:lang w:eastAsia="ru-RU"/>
              </w:rPr>
              <w:t>понад 250 г до 1000 г</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130</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70</w:t>
            </w:r>
          </w:p>
        </w:tc>
        <w:tc>
          <w:tcPr>
            <w:tcW w:w="2640"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300</w:t>
            </w:r>
          </w:p>
        </w:tc>
      </w:tr>
      <w:tr w:rsidR="003B6133" w:rsidRPr="00104973" w:rsidTr="005F618B">
        <w:tc>
          <w:tcPr>
            <w:tcW w:w="2463" w:type="dxa"/>
            <w:shd w:val="clear" w:color="auto" w:fill="auto"/>
          </w:tcPr>
          <w:p w:rsidR="003B6133" w:rsidRPr="00104973" w:rsidRDefault="003B6133" w:rsidP="005F618B">
            <w:pPr>
              <w:ind w:right="-86"/>
              <w:contextualSpacing/>
              <w:jc w:val="both"/>
              <w:rPr>
                <w:bCs/>
                <w:color w:val="000000"/>
                <w:lang w:eastAsia="ru-RU"/>
              </w:rPr>
            </w:pPr>
            <w:r w:rsidRPr="00104973">
              <w:rPr>
                <w:bCs/>
                <w:color w:val="000000"/>
                <w:lang w:eastAsia="ru-RU"/>
              </w:rPr>
              <w:t>понад 1000 г до 2000 г</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70</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30</w:t>
            </w:r>
          </w:p>
        </w:tc>
        <w:tc>
          <w:tcPr>
            <w:tcW w:w="2640"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100</w:t>
            </w:r>
          </w:p>
        </w:tc>
      </w:tr>
      <w:tr w:rsidR="003B6133" w:rsidRPr="00104973" w:rsidTr="005F618B">
        <w:tc>
          <w:tcPr>
            <w:tcW w:w="2463" w:type="dxa"/>
            <w:shd w:val="clear" w:color="auto" w:fill="auto"/>
          </w:tcPr>
          <w:p w:rsidR="003B6133" w:rsidRPr="00104973" w:rsidRDefault="003B6133" w:rsidP="005F618B">
            <w:pPr>
              <w:ind w:right="-86"/>
              <w:contextualSpacing/>
              <w:jc w:val="both"/>
              <w:rPr>
                <w:bCs/>
                <w:color w:val="000000"/>
                <w:lang w:eastAsia="ru-RU"/>
              </w:rPr>
            </w:pPr>
            <w:r w:rsidRPr="00104973">
              <w:rPr>
                <w:bCs/>
                <w:color w:val="000000"/>
                <w:lang w:eastAsia="ru-RU"/>
              </w:rPr>
              <w:t>Всього:</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3600</w:t>
            </w:r>
          </w:p>
        </w:tc>
        <w:tc>
          <w:tcPr>
            <w:tcW w:w="2464"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360</w:t>
            </w:r>
          </w:p>
        </w:tc>
        <w:tc>
          <w:tcPr>
            <w:tcW w:w="2640" w:type="dxa"/>
            <w:shd w:val="clear" w:color="auto" w:fill="auto"/>
          </w:tcPr>
          <w:p w:rsidR="003B6133" w:rsidRPr="00104973" w:rsidRDefault="003B6133" w:rsidP="005F618B">
            <w:pPr>
              <w:ind w:right="-86"/>
              <w:contextualSpacing/>
              <w:jc w:val="center"/>
              <w:rPr>
                <w:bCs/>
                <w:color w:val="000000"/>
                <w:lang w:eastAsia="ru-RU"/>
              </w:rPr>
            </w:pPr>
            <w:r w:rsidRPr="00104973">
              <w:rPr>
                <w:bCs/>
                <w:color w:val="000000"/>
                <w:lang w:eastAsia="ru-RU"/>
              </w:rPr>
              <w:t>2400</w:t>
            </w:r>
          </w:p>
        </w:tc>
      </w:tr>
    </w:tbl>
    <w:p w:rsidR="003B6133" w:rsidRDefault="003B6133" w:rsidP="003B6133">
      <w:pPr>
        <w:ind w:right="-86" w:firstLine="284"/>
        <w:contextualSpacing/>
        <w:jc w:val="both"/>
        <w:rPr>
          <w:b/>
          <w:bCs/>
          <w:color w:val="000000"/>
          <w:lang w:eastAsia="ru-RU"/>
        </w:rPr>
      </w:pPr>
    </w:p>
    <w:p w:rsidR="003B6133" w:rsidRPr="00E01DCB" w:rsidRDefault="003B6133" w:rsidP="003B6133">
      <w:pPr>
        <w:tabs>
          <w:tab w:val="left" w:pos="851"/>
        </w:tabs>
        <w:suppressAutoHyphens/>
        <w:ind w:firstLine="567"/>
        <w:contextualSpacing/>
        <w:jc w:val="both"/>
        <w:rPr>
          <w:rFonts w:eastAsia="Calibri"/>
          <w:b/>
          <w:lang w:eastAsia="ru-RU"/>
        </w:rPr>
      </w:pPr>
      <w:r w:rsidRPr="009E64BE">
        <w:rPr>
          <w:b/>
          <w:bCs/>
        </w:rPr>
        <w:t>Розділ ІІ</w:t>
      </w:r>
      <w:r>
        <w:rPr>
          <w:b/>
          <w:bCs/>
        </w:rPr>
        <w:t xml:space="preserve">. </w:t>
      </w:r>
      <w:r w:rsidRPr="00E01DCB">
        <w:rPr>
          <w:rFonts w:eastAsia="Calibri"/>
          <w:b/>
          <w:lang w:eastAsia="ru-RU"/>
        </w:rPr>
        <w:t xml:space="preserve">Вимоги до </w:t>
      </w:r>
      <w:r>
        <w:rPr>
          <w:rFonts w:eastAsia="Calibri"/>
          <w:b/>
          <w:lang w:eastAsia="ru-RU"/>
        </w:rPr>
        <w:t>надання послуг, що є предметом закупівлі</w:t>
      </w:r>
    </w:p>
    <w:p w:rsidR="003B6133" w:rsidRPr="00217877" w:rsidRDefault="003B6133" w:rsidP="003B6133">
      <w:pPr>
        <w:ind w:firstLine="567"/>
        <w:contextualSpacing/>
        <w:jc w:val="both"/>
        <w:rPr>
          <w:bCs/>
        </w:rPr>
      </w:pPr>
      <w:r>
        <w:rPr>
          <w:bCs/>
        </w:rPr>
        <w:t>2</w:t>
      </w:r>
      <w:r w:rsidRPr="004B07F5">
        <w:rPr>
          <w:bCs/>
        </w:rPr>
        <w:t xml:space="preserve">.1. </w:t>
      </w:r>
      <w:r>
        <w:rPr>
          <w:bCs/>
        </w:rPr>
        <w:t>Учасник (виконавець) повинен надавати п</w:t>
      </w:r>
      <w:r w:rsidRPr="00217877">
        <w:rPr>
          <w:bCs/>
        </w:rPr>
        <w:t>ослуг</w:t>
      </w:r>
      <w:r>
        <w:rPr>
          <w:bCs/>
        </w:rPr>
        <w:t xml:space="preserve">и, що є предметом закупівлі, відповідно до норм чинного законодавства у сфері поштового зв’язку, зокрема: </w:t>
      </w:r>
    </w:p>
    <w:p w:rsidR="003B6133" w:rsidRPr="00217877" w:rsidRDefault="003B6133" w:rsidP="003B6133">
      <w:pPr>
        <w:ind w:firstLine="567"/>
        <w:contextualSpacing/>
        <w:jc w:val="both"/>
        <w:rPr>
          <w:bCs/>
        </w:rPr>
      </w:pPr>
      <w:r w:rsidRPr="00217877">
        <w:rPr>
          <w:bCs/>
        </w:rPr>
        <w:t>- Закон</w:t>
      </w:r>
      <w:r>
        <w:rPr>
          <w:bCs/>
        </w:rPr>
        <w:t xml:space="preserve">у </w:t>
      </w:r>
      <w:r w:rsidRPr="00217877">
        <w:rPr>
          <w:bCs/>
        </w:rPr>
        <w:t>України «Про поштовий зв’язок»;</w:t>
      </w:r>
    </w:p>
    <w:p w:rsidR="003B6133" w:rsidRDefault="003B6133" w:rsidP="003B6133">
      <w:pPr>
        <w:ind w:firstLine="567"/>
        <w:contextualSpacing/>
        <w:jc w:val="both"/>
        <w:rPr>
          <w:bCs/>
        </w:rPr>
      </w:pPr>
      <w:r w:rsidRPr="00217877">
        <w:rPr>
          <w:bCs/>
        </w:rPr>
        <w:t>- Правил надання послуг поштового зв’язку, затверджени</w:t>
      </w:r>
      <w:r>
        <w:rPr>
          <w:bCs/>
        </w:rPr>
        <w:t xml:space="preserve">х </w:t>
      </w:r>
      <w:r w:rsidRPr="00217877">
        <w:rPr>
          <w:bCs/>
        </w:rPr>
        <w:t>постановою Кабінету Міністр</w:t>
      </w:r>
      <w:r>
        <w:rPr>
          <w:bCs/>
        </w:rPr>
        <w:t>ів України від 05.03.2009 р. № 270;</w:t>
      </w:r>
    </w:p>
    <w:p w:rsidR="003B6133" w:rsidRDefault="003B6133" w:rsidP="003B6133">
      <w:pPr>
        <w:ind w:firstLine="567"/>
        <w:contextualSpacing/>
        <w:jc w:val="both"/>
        <w:rPr>
          <w:bCs/>
        </w:rPr>
      </w:pPr>
      <w:r>
        <w:rPr>
          <w:bCs/>
        </w:rPr>
        <w:t xml:space="preserve">- </w:t>
      </w:r>
      <w:r w:rsidRPr="00B202BD">
        <w:rPr>
          <w:bCs/>
        </w:rPr>
        <w:t>Наказ</w:t>
      </w:r>
      <w:r>
        <w:rPr>
          <w:bCs/>
        </w:rPr>
        <w:t>у</w:t>
      </w:r>
      <w:r w:rsidRPr="00B202BD">
        <w:rPr>
          <w:bCs/>
        </w:rPr>
        <w:t xml:space="preserve"> Міністерства інфраструктури України від 28 листопада 2013 року № 958 «Про затвердження Нормативів і нормативних строків пересилання поштових відправлень».</w:t>
      </w:r>
    </w:p>
    <w:p w:rsidR="003B6133" w:rsidRDefault="003B6133" w:rsidP="003B6133">
      <w:pPr>
        <w:ind w:firstLine="567"/>
        <w:contextualSpacing/>
        <w:jc w:val="both"/>
        <w:rPr>
          <w:bCs/>
        </w:rPr>
      </w:pPr>
      <w:r>
        <w:rPr>
          <w:bCs/>
        </w:rPr>
        <w:t xml:space="preserve">2.2. </w:t>
      </w:r>
      <w:r w:rsidRPr="00050A36">
        <w:rPr>
          <w:lang w:eastAsia="ru-RU"/>
        </w:rPr>
        <w:t xml:space="preserve">Місце </w:t>
      </w:r>
      <w:r>
        <w:rPr>
          <w:lang w:eastAsia="ru-RU"/>
        </w:rPr>
        <w:t>надання послуг</w:t>
      </w:r>
      <w:r w:rsidRPr="00050A36">
        <w:rPr>
          <w:lang w:eastAsia="ru-RU"/>
        </w:rPr>
        <w:t xml:space="preserve">: </w:t>
      </w:r>
      <w:r w:rsidRPr="00C24B08">
        <w:rPr>
          <w:rFonts w:eastAsia="Calibri"/>
          <w:lang w:eastAsia="en-US"/>
        </w:rPr>
        <w:t>територія України</w:t>
      </w:r>
      <w:r w:rsidRPr="00C24B08">
        <w:rPr>
          <w:lang w:eastAsia="ru-RU"/>
        </w:rPr>
        <w:t>.</w:t>
      </w:r>
      <w:r>
        <w:rPr>
          <w:lang w:eastAsia="ru-RU"/>
        </w:rPr>
        <w:t xml:space="preserve"> </w:t>
      </w:r>
      <w:r>
        <w:rPr>
          <w:bCs/>
        </w:rPr>
        <w:t>Поштове в</w:t>
      </w:r>
      <w:r w:rsidRPr="00D4154C">
        <w:rPr>
          <w:bCs/>
        </w:rPr>
        <w:t xml:space="preserve">ідділення </w:t>
      </w:r>
      <w:r>
        <w:rPr>
          <w:bCs/>
        </w:rPr>
        <w:t>учасника (в</w:t>
      </w:r>
      <w:r w:rsidRPr="00D4154C">
        <w:rPr>
          <w:bCs/>
        </w:rPr>
        <w:t>иконавця</w:t>
      </w:r>
      <w:r>
        <w:rPr>
          <w:bCs/>
        </w:rPr>
        <w:t>)</w:t>
      </w:r>
      <w:r w:rsidRPr="00D4154C">
        <w:rPr>
          <w:bCs/>
        </w:rPr>
        <w:t xml:space="preserve"> має знаходитись </w:t>
      </w:r>
      <w:r w:rsidRPr="00E36889">
        <w:rPr>
          <w:bCs/>
        </w:rPr>
        <w:t xml:space="preserve">на відстані </w:t>
      </w:r>
      <w:r>
        <w:rPr>
          <w:bCs/>
        </w:rPr>
        <w:t>пішого доступу</w:t>
      </w:r>
      <w:r w:rsidRPr="00E36889">
        <w:rPr>
          <w:bCs/>
        </w:rPr>
        <w:t xml:space="preserve"> від місцезнаходження Замовника (бульвар Лесі Українки, 26, м. Київ, 01133) не більше</w:t>
      </w:r>
      <w:r>
        <w:rPr>
          <w:bCs/>
        </w:rPr>
        <w:t xml:space="preserve"> 1000 м </w:t>
      </w:r>
      <w:r w:rsidRPr="00AE7E63">
        <w:rPr>
          <w:bCs/>
        </w:rPr>
        <w:t>(</w:t>
      </w:r>
      <w:r>
        <w:rPr>
          <w:bCs/>
        </w:rPr>
        <w:t>одна тисяча метрів</w:t>
      </w:r>
      <w:r w:rsidRPr="00AE7E63">
        <w:rPr>
          <w:bCs/>
        </w:rPr>
        <w:t>)</w:t>
      </w:r>
      <w:r>
        <w:rPr>
          <w:bCs/>
        </w:rPr>
        <w:t xml:space="preserve">. </w:t>
      </w:r>
    </w:p>
    <w:p w:rsidR="003B6133" w:rsidRDefault="003B6133" w:rsidP="003B6133">
      <w:pPr>
        <w:ind w:firstLine="567"/>
        <w:contextualSpacing/>
        <w:jc w:val="both"/>
        <w:rPr>
          <w:bCs/>
        </w:rPr>
      </w:pPr>
      <w:r>
        <w:rPr>
          <w:bCs/>
        </w:rPr>
        <w:t>2.3. Орієнтовна загальна кількість відправлень складає: 6360 шт.</w:t>
      </w:r>
    </w:p>
    <w:p w:rsidR="003B6133" w:rsidRDefault="003B6133" w:rsidP="003B6133">
      <w:pPr>
        <w:ind w:firstLine="567"/>
        <w:contextualSpacing/>
        <w:jc w:val="both"/>
        <w:rPr>
          <w:bCs/>
        </w:rPr>
      </w:pPr>
      <w:r>
        <w:rPr>
          <w:bCs/>
        </w:rPr>
        <w:t xml:space="preserve">2.4. Строк надання послуг, що є предметом закупівлі: протягом </w:t>
      </w:r>
      <w:r w:rsidRPr="00D608A6">
        <w:rPr>
          <w:bCs/>
        </w:rPr>
        <w:t>12 (дванадцять) місяців з дати підписання Договору</w:t>
      </w:r>
      <w:r>
        <w:rPr>
          <w:bCs/>
        </w:rPr>
        <w:t>.</w:t>
      </w:r>
    </w:p>
    <w:p w:rsidR="003B6133" w:rsidRDefault="003B6133" w:rsidP="003B6133">
      <w:pPr>
        <w:ind w:firstLine="567"/>
        <w:contextualSpacing/>
        <w:jc w:val="both"/>
        <w:rPr>
          <w:bCs/>
        </w:rPr>
      </w:pPr>
      <w:r>
        <w:rPr>
          <w:bCs/>
        </w:rPr>
        <w:t xml:space="preserve">2.5. Учасник (виконавець) повинен мати можливість здійснювати надання послуг, що є предметом закупівлі, з використанням списків </w:t>
      </w:r>
      <w:r w:rsidRPr="002436D8">
        <w:rPr>
          <w:bCs/>
        </w:rPr>
        <w:t>згрупованих рекомендованих Поштових відправлень</w:t>
      </w:r>
      <w:r>
        <w:rPr>
          <w:bCs/>
        </w:rPr>
        <w:t xml:space="preserve"> за формою 103.</w:t>
      </w:r>
    </w:p>
    <w:p w:rsidR="003B6133" w:rsidRDefault="003B6133" w:rsidP="003B6133">
      <w:pPr>
        <w:ind w:firstLine="567"/>
        <w:contextualSpacing/>
        <w:jc w:val="both"/>
        <w:rPr>
          <w:bCs/>
        </w:rPr>
      </w:pPr>
      <w:r>
        <w:rPr>
          <w:bCs/>
        </w:rPr>
        <w:t>2.6. Тип упаковки поштових відправлень обирається Замовником самостійно залежно від його вкладення.</w:t>
      </w:r>
    </w:p>
    <w:p w:rsidR="003B6133" w:rsidRDefault="003B6133" w:rsidP="003B6133">
      <w:pPr>
        <w:ind w:firstLine="567"/>
        <w:contextualSpacing/>
        <w:jc w:val="both"/>
        <w:rPr>
          <w:bCs/>
        </w:rPr>
      </w:pPr>
      <w:r>
        <w:rPr>
          <w:bCs/>
        </w:rPr>
        <w:t xml:space="preserve">2.7. Надання послуг </w:t>
      </w:r>
      <w:r w:rsidRPr="004B07F5">
        <w:t xml:space="preserve">здійснюється переможцем торгів </w:t>
      </w:r>
      <w:r w:rsidRPr="00E01DCB">
        <w:rPr>
          <w:bCs/>
        </w:rPr>
        <w:t xml:space="preserve">відповідно до умов договору, проект якого викладено у </w:t>
      </w:r>
      <w:r w:rsidRPr="0003154C">
        <w:rPr>
          <w:b/>
          <w:bCs/>
        </w:rPr>
        <w:t>Додатку 4</w:t>
      </w:r>
      <w:r w:rsidRPr="00E01DCB">
        <w:rPr>
          <w:bCs/>
        </w:rPr>
        <w:t xml:space="preserve"> до тендерної документації</w:t>
      </w:r>
      <w:r w:rsidRPr="004B07F5">
        <w:t>.</w:t>
      </w:r>
    </w:p>
    <w:p w:rsidR="003B6133" w:rsidRDefault="003B6133" w:rsidP="003B6133">
      <w:pPr>
        <w:ind w:firstLine="720"/>
        <w:jc w:val="both"/>
        <w:rPr>
          <w:color w:val="000000"/>
          <w:lang w:eastAsia="ru-RU"/>
        </w:rPr>
      </w:pPr>
    </w:p>
    <w:p w:rsidR="003B6133" w:rsidRPr="00DA430D" w:rsidRDefault="003B6133" w:rsidP="003B6133">
      <w:pPr>
        <w:ind w:firstLine="567"/>
        <w:contextualSpacing/>
        <w:jc w:val="both"/>
        <w:rPr>
          <w:rFonts w:eastAsia="Calibri"/>
          <w:b/>
          <w:bCs/>
          <w:lang w:eastAsia="en-US"/>
        </w:rPr>
      </w:pPr>
      <w:r>
        <w:rPr>
          <w:rFonts w:eastAsia="Calibri"/>
          <w:b/>
          <w:bCs/>
          <w:lang w:eastAsia="en-US"/>
        </w:rPr>
        <w:t>Розділ І</w:t>
      </w:r>
      <w:r w:rsidRPr="00DA430D">
        <w:rPr>
          <w:rFonts w:eastAsia="Calibri"/>
          <w:b/>
          <w:bCs/>
          <w:lang w:eastAsia="en-US"/>
        </w:rPr>
        <w:t>ІІ. Вимоги до підготовки тендерної пропозиції учасни</w:t>
      </w:r>
      <w:r>
        <w:rPr>
          <w:rFonts w:eastAsia="Calibri"/>
          <w:b/>
          <w:bCs/>
          <w:lang w:eastAsia="en-US"/>
        </w:rPr>
        <w:t>ком</w:t>
      </w:r>
    </w:p>
    <w:p w:rsidR="003B6133" w:rsidRPr="00A32F46" w:rsidRDefault="003B6133" w:rsidP="003B6133">
      <w:pPr>
        <w:tabs>
          <w:tab w:val="left" w:pos="851"/>
        </w:tabs>
        <w:suppressAutoHyphens/>
        <w:ind w:firstLine="567"/>
        <w:contextualSpacing/>
        <w:jc w:val="both"/>
        <w:rPr>
          <w:rFonts w:eastAsia="Calibri"/>
          <w:lang w:eastAsia="ru-RU"/>
        </w:rPr>
      </w:pPr>
      <w:r>
        <w:rPr>
          <w:rFonts w:eastAsia="Calibri"/>
          <w:lang w:eastAsia="ru-RU"/>
        </w:rPr>
        <w:t>3</w:t>
      </w:r>
      <w:r w:rsidRPr="00DA430D">
        <w:rPr>
          <w:rFonts w:eastAsia="Calibri"/>
          <w:lang w:eastAsia="ru-RU"/>
        </w:rPr>
        <w:t xml:space="preserve">.1. </w:t>
      </w:r>
      <w:r w:rsidRPr="00A32F46">
        <w:rPr>
          <w:rFonts w:eastAsia="Calibri"/>
          <w:lang w:eastAsia="ru-RU"/>
        </w:rPr>
        <w:t>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w:t>
      </w:r>
    </w:p>
    <w:p w:rsidR="003B6133" w:rsidRDefault="003B6133" w:rsidP="003B6133">
      <w:pPr>
        <w:tabs>
          <w:tab w:val="left" w:pos="851"/>
        </w:tabs>
        <w:suppressAutoHyphens/>
        <w:ind w:firstLine="567"/>
        <w:contextualSpacing/>
        <w:jc w:val="both"/>
        <w:rPr>
          <w:rFonts w:eastAsia="Calibri"/>
          <w:lang w:eastAsia="ru-RU"/>
        </w:rPr>
      </w:pPr>
      <w:r w:rsidRPr="00A32F46">
        <w:rPr>
          <w:rFonts w:eastAsia="Calibri"/>
          <w:lang w:eastAsia="ru-RU"/>
        </w:rPr>
        <w:lastRenderedPageBreak/>
        <w:t>- довідку у довільній формі про можливість надання послуг Замовнику з урахуванням вимог викладених у цьому Додатку до тендерної документації;</w:t>
      </w:r>
    </w:p>
    <w:p w:rsidR="003B6133" w:rsidRPr="000C636D" w:rsidRDefault="003B6133" w:rsidP="003B6133">
      <w:pPr>
        <w:tabs>
          <w:tab w:val="left" w:pos="851"/>
        </w:tabs>
        <w:suppressAutoHyphens/>
        <w:ind w:firstLine="567"/>
        <w:contextualSpacing/>
        <w:jc w:val="both"/>
        <w:rPr>
          <w:rFonts w:eastAsia="Calibri"/>
          <w:highlight w:val="yellow"/>
          <w:lang w:eastAsia="ru-RU"/>
        </w:rPr>
      </w:pPr>
      <w:r>
        <w:rPr>
          <w:rFonts w:eastAsia="Calibri"/>
          <w:lang w:eastAsia="ru-RU"/>
        </w:rPr>
        <w:t xml:space="preserve">- довідку у довільній формі із зазначення інформації про внесення учасника до Єдиного </w:t>
      </w:r>
      <w:r w:rsidRPr="00AE7E63">
        <w:rPr>
          <w:rFonts w:eastAsia="Calibri"/>
          <w:lang w:eastAsia="ru-RU"/>
        </w:rPr>
        <w:t>державного реєстру операторів поштового зв’язку, зокрема, номер та дату прийняття рішення Національної комісії, що здійснює державне регулювання у сферах електронних комунікацій, радіочастотного спектра та надання послуг поштового зв’язку щодо вклю</w:t>
      </w:r>
      <w:r>
        <w:rPr>
          <w:rFonts w:eastAsia="Calibri"/>
          <w:lang w:eastAsia="ru-RU"/>
        </w:rPr>
        <w:t>чення учасника до цього реєстру.</w:t>
      </w:r>
    </w:p>
    <w:p w:rsidR="003B6133" w:rsidRPr="00C20039" w:rsidRDefault="003B6133" w:rsidP="003B6133">
      <w:pPr>
        <w:tabs>
          <w:tab w:val="left" w:pos="0"/>
          <w:tab w:val="left" w:pos="993"/>
        </w:tabs>
        <w:ind w:firstLine="567"/>
        <w:contextualSpacing/>
        <w:jc w:val="both"/>
        <w:rPr>
          <w:rFonts w:eastAsia="Calibri"/>
          <w:lang w:eastAsia="ru-RU"/>
        </w:rPr>
      </w:pPr>
      <w:r>
        <w:rPr>
          <w:rFonts w:eastAsia="Calibri"/>
          <w:lang w:eastAsia="ru-RU"/>
        </w:rPr>
        <w:t xml:space="preserve">3.2. </w:t>
      </w:r>
      <w:r w:rsidRPr="00DA430D">
        <w:rPr>
          <w:rFonts w:eastAsia="Calibri"/>
          <w:lang w:eastAsia="ru-RU"/>
        </w:rPr>
        <w:t xml:space="preserve">Будь-яке посилання у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C20039">
        <w:rPr>
          <w:rFonts w:eastAsia="Calibri"/>
          <w:lang w:eastAsia="ru-RU"/>
        </w:rPr>
        <w:t>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C828E0" w:rsidRDefault="003B6133" w:rsidP="003B6133">
      <w:pPr>
        <w:ind w:firstLine="567"/>
        <w:jc w:val="both"/>
      </w:pPr>
      <w:r w:rsidRPr="00C20039">
        <w:rPr>
          <w:rFonts w:eastAsia="Calibri"/>
          <w:lang w:eastAsia="ru-RU"/>
        </w:rPr>
        <w:t xml:space="preserve">3.3. Будь-яке посилання, в тендерній </w:t>
      </w:r>
      <w:bookmarkStart w:id="0" w:name="_GoBack"/>
      <w:r w:rsidRPr="00C20039">
        <w:rPr>
          <w:rFonts w:eastAsia="Calibri"/>
          <w:lang w:eastAsia="ru-RU"/>
        </w:rPr>
        <w:t>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bookmarkEnd w:id="0"/>
      <w:r w:rsidRPr="00C20039">
        <w:rPr>
          <w:rFonts w:eastAsia="Calibri"/>
          <w:lang w:eastAsia="ru-RU"/>
        </w:rPr>
        <w:t>».</w:t>
      </w:r>
    </w:p>
    <w:sectPr w:rsidR="00C828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33"/>
    <w:rsid w:val="003B6133"/>
    <w:rsid w:val="00C828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3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2445</Words>
  <Characters>1395</Characters>
  <Application>Microsoft Office Word</Application>
  <DocSecurity>0</DocSecurity>
  <Lines>11</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Черняєв Святослав Юрійович</cp:lastModifiedBy>
  <cp:revision>1</cp:revision>
  <dcterms:created xsi:type="dcterms:W3CDTF">2023-03-21T10:47:00Z</dcterms:created>
  <dcterms:modified xsi:type="dcterms:W3CDTF">2023-03-21T10:47:00Z</dcterms:modified>
</cp:coreProperties>
</file>