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98" w:rsidRPr="00802D87" w:rsidRDefault="00234498" w:rsidP="00234498">
      <w:pPr>
        <w:ind w:left="6237"/>
        <w:jc w:val="right"/>
        <w:rPr>
          <w:sz w:val="20"/>
          <w:szCs w:val="20"/>
        </w:rPr>
      </w:pPr>
      <w:r w:rsidRPr="00802D87">
        <w:rPr>
          <w:b/>
          <w:sz w:val="20"/>
          <w:szCs w:val="20"/>
        </w:rPr>
        <w:t>Додаток 1</w:t>
      </w:r>
    </w:p>
    <w:p w:rsidR="00234498" w:rsidRPr="00802D87" w:rsidRDefault="00234498" w:rsidP="00234498">
      <w:pPr>
        <w:ind w:left="6237"/>
        <w:jc w:val="right"/>
        <w:rPr>
          <w:sz w:val="20"/>
          <w:szCs w:val="20"/>
        </w:rPr>
      </w:pPr>
      <w:r w:rsidRPr="00802D87">
        <w:rPr>
          <w:sz w:val="20"/>
          <w:szCs w:val="20"/>
        </w:rPr>
        <w:t>до тендерної документації</w:t>
      </w:r>
    </w:p>
    <w:p w:rsidR="00234498" w:rsidRPr="00802D87" w:rsidRDefault="00234498" w:rsidP="00234498">
      <w:pPr>
        <w:ind w:left="6237"/>
        <w:rPr>
          <w:b/>
          <w:bCs/>
          <w:iCs/>
          <w:sz w:val="20"/>
          <w:szCs w:val="20"/>
        </w:rPr>
      </w:pPr>
    </w:p>
    <w:p w:rsidR="00234498" w:rsidRPr="00802D87" w:rsidRDefault="00234498" w:rsidP="00234498">
      <w:pPr>
        <w:tabs>
          <w:tab w:val="left" w:pos="180"/>
        </w:tabs>
        <w:ind w:left="-284" w:right="-25"/>
        <w:jc w:val="center"/>
        <w:rPr>
          <w:b/>
        </w:rPr>
      </w:pPr>
      <w:r w:rsidRPr="00802D87">
        <w:rPr>
          <w:b/>
        </w:rPr>
        <w:t xml:space="preserve">Кваліфікаційні критерії та документи, </w:t>
      </w:r>
    </w:p>
    <w:p w:rsidR="00234498" w:rsidRPr="00802D87" w:rsidRDefault="00234498" w:rsidP="00234498">
      <w:pPr>
        <w:tabs>
          <w:tab w:val="left" w:pos="180"/>
        </w:tabs>
        <w:ind w:left="-284" w:right="-25"/>
        <w:jc w:val="center"/>
        <w:rPr>
          <w:b/>
        </w:rPr>
      </w:pPr>
      <w:r w:rsidRPr="00802D87">
        <w:rPr>
          <w:b/>
        </w:rPr>
        <w:t>які вимагаються для підтвердження відповідності учасника кваліфікаційним критеріям та іншим вимогам замовника</w:t>
      </w:r>
    </w:p>
    <w:p w:rsidR="00234498" w:rsidRPr="00802D87" w:rsidRDefault="00234498" w:rsidP="00234498">
      <w:pPr>
        <w:tabs>
          <w:tab w:val="left" w:pos="180"/>
        </w:tabs>
        <w:ind w:left="-284" w:right="-25"/>
        <w:jc w:val="center"/>
        <w:rPr>
          <w:b/>
        </w:rPr>
      </w:pPr>
    </w:p>
    <w:p w:rsidR="00234498" w:rsidRPr="00802D87" w:rsidRDefault="00234498" w:rsidP="00234498">
      <w:pPr>
        <w:ind w:left="-142" w:right="-25" w:firstLine="567"/>
        <w:jc w:val="both"/>
      </w:pPr>
      <w:r w:rsidRPr="00802D87">
        <w:t>Для участі у процедурі закупівлі учасники повинні відповідати кваліфікаційним критеріям та іншим вимогам наведеним у таблиці.</w:t>
      </w:r>
    </w:p>
    <w:p w:rsidR="00234498" w:rsidRPr="00802D87" w:rsidRDefault="00234498" w:rsidP="00234498">
      <w:pPr>
        <w:ind w:left="-142" w:right="-25" w:firstLine="567"/>
        <w:jc w:val="both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6575"/>
      </w:tblGrid>
      <w:tr w:rsidR="00234498" w:rsidRPr="00802D87" w:rsidTr="005F618B">
        <w:tc>
          <w:tcPr>
            <w:tcW w:w="1628" w:type="pct"/>
            <w:vAlign w:val="center"/>
          </w:tcPr>
          <w:p w:rsidR="00234498" w:rsidRPr="00802D87" w:rsidRDefault="00234498" w:rsidP="005F618B">
            <w:pPr>
              <w:jc w:val="center"/>
              <w:rPr>
                <w:b/>
                <w:color w:val="000000"/>
                <w:lang w:eastAsia="ru-RU"/>
              </w:rPr>
            </w:pPr>
            <w:r w:rsidRPr="00802D87">
              <w:rPr>
                <w:b/>
                <w:color w:val="000000"/>
                <w:lang w:eastAsia="ru-RU"/>
              </w:rPr>
              <w:t>Вимога</w:t>
            </w:r>
          </w:p>
        </w:tc>
        <w:tc>
          <w:tcPr>
            <w:tcW w:w="3372" w:type="pct"/>
            <w:vAlign w:val="center"/>
          </w:tcPr>
          <w:p w:rsidR="00234498" w:rsidRPr="00802D87" w:rsidRDefault="00234498" w:rsidP="005F618B">
            <w:pPr>
              <w:jc w:val="center"/>
              <w:rPr>
                <w:b/>
                <w:color w:val="000000"/>
                <w:lang w:eastAsia="ru-RU"/>
              </w:rPr>
            </w:pPr>
            <w:r w:rsidRPr="00802D87">
              <w:rPr>
                <w:b/>
                <w:color w:val="000000"/>
                <w:lang w:eastAsia="ru-RU"/>
              </w:rPr>
              <w:t>Підтвердження відповідності</w:t>
            </w:r>
          </w:p>
        </w:tc>
      </w:tr>
      <w:tr w:rsidR="00234498" w:rsidRPr="00802D87" w:rsidTr="005F618B">
        <w:trPr>
          <w:trHeight w:val="213"/>
        </w:trPr>
        <w:tc>
          <w:tcPr>
            <w:tcW w:w="5000" w:type="pct"/>
            <w:gridSpan w:val="2"/>
          </w:tcPr>
          <w:p w:rsidR="00234498" w:rsidRPr="00802D87" w:rsidRDefault="00234498" w:rsidP="005F618B">
            <w:pPr>
              <w:jc w:val="center"/>
              <w:rPr>
                <w:b/>
                <w:color w:val="000000"/>
                <w:lang w:eastAsia="ru-RU"/>
              </w:rPr>
            </w:pPr>
            <w:r w:rsidRPr="00802D87">
              <w:rPr>
                <w:b/>
                <w:color w:val="000000"/>
                <w:lang w:eastAsia="ru-RU"/>
              </w:rPr>
              <w:t>Розділ І. Перелік документів, що вимагаються від учасника</w:t>
            </w:r>
          </w:p>
        </w:tc>
      </w:tr>
      <w:tr w:rsidR="00234498" w:rsidRPr="00802D87" w:rsidTr="005F618B">
        <w:trPr>
          <w:trHeight w:val="338"/>
        </w:trPr>
        <w:tc>
          <w:tcPr>
            <w:tcW w:w="5000" w:type="pct"/>
            <w:gridSpan w:val="2"/>
          </w:tcPr>
          <w:p w:rsidR="00234498" w:rsidRPr="00802D87" w:rsidRDefault="00234498" w:rsidP="005F618B">
            <w:pPr>
              <w:jc w:val="center"/>
              <w:rPr>
                <w:b/>
                <w:lang w:eastAsia="ru-RU"/>
              </w:rPr>
            </w:pPr>
            <w:r w:rsidRPr="00802D87">
              <w:rPr>
                <w:b/>
                <w:lang w:eastAsia="ru-RU"/>
              </w:rPr>
              <w:t>1. Кваліфікаційні критерії до учасника та спосіб їх документального підтвердження</w:t>
            </w:r>
          </w:p>
        </w:tc>
      </w:tr>
      <w:tr w:rsidR="00234498" w:rsidRPr="00802D87" w:rsidTr="005F618B">
        <w:tc>
          <w:tcPr>
            <w:tcW w:w="1628" w:type="pct"/>
          </w:tcPr>
          <w:p w:rsidR="00234498" w:rsidRPr="00802D87" w:rsidRDefault="00234498" w:rsidP="005F618B">
            <w:pPr>
              <w:jc w:val="both"/>
              <w:rPr>
                <w:b/>
                <w:lang w:eastAsia="ru-RU"/>
              </w:rPr>
            </w:pPr>
            <w:r w:rsidRPr="00802D87">
              <w:rPr>
                <w:b/>
                <w:lang w:eastAsia="ru-RU"/>
              </w:rPr>
              <w:t>Кваліфікаційні критерії встановлені відповідно до статті 16 Закону</w:t>
            </w:r>
          </w:p>
        </w:tc>
        <w:tc>
          <w:tcPr>
            <w:tcW w:w="3372" w:type="pct"/>
          </w:tcPr>
          <w:p w:rsidR="00234498" w:rsidRPr="00802D87" w:rsidRDefault="00234498" w:rsidP="005F618B">
            <w:pPr>
              <w:jc w:val="both"/>
              <w:rPr>
                <w:b/>
                <w:lang w:eastAsia="ru-RU"/>
              </w:rPr>
            </w:pPr>
            <w:r w:rsidRPr="00802D87">
              <w:rPr>
                <w:b/>
                <w:lang w:eastAsia="ru-RU"/>
              </w:rPr>
              <w:t>Документальне підтвердження наявності кваліфікаційних критеріїв</w:t>
            </w:r>
          </w:p>
        </w:tc>
      </w:tr>
      <w:tr w:rsidR="00234498" w:rsidRPr="00802D87" w:rsidTr="005F618B">
        <w:trPr>
          <w:trHeight w:val="2550"/>
        </w:trPr>
        <w:tc>
          <w:tcPr>
            <w:tcW w:w="1628" w:type="pct"/>
          </w:tcPr>
          <w:p w:rsidR="00234498" w:rsidRPr="00802D87" w:rsidRDefault="00234498" w:rsidP="005F618B">
            <w:pPr>
              <w:tabs>
                <w:tab w:val="left" w:pos="900"/>
                <w:tab w:val="left" w:pos="2160"/>
              </w:tabs>
              <w:ind w:right="-25"/>
              <w:jc w:val="both"/>
              <w:rPr>
                <w:spacing w:val="-1"/>
                <w:lang w:eastAsia="ru-RU"/>
              </w:rPr>
            </w:pPr>
            <w:r w:rsidRPr="00802D87">
              <w:rPr>
                <w:spacing w:val="-1"/>
                <w:lang w:eastAsia="ru-RU"/>
              </w:rPr>
              <w:t>1.</w:t>
            </w:r>
            <w:r>
              <w:rPr>
                <w:spacing w:val="-1"/>
                <w:lang w:eastAsia="ru-RU"/>
              </w:rPr>
              <w:t>1</w:t>
            </w:r>
            <w:r w:rsidRPr="00802D87">
              <w:rPr>
                <w:spacing w:val="-1"/>
                <w:lang w:eastAsia="ru-RU"/>
              </w:rPr>
              <w:t>. 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3372" w:type="pct"/>
            <w:vAlign w:val="center"/>
          </w:tcPr>
          <w:p w:rsidR="00234498" w:rsidRPr="00802D87" w:rsidRDefault="00234498" w:rsidP="005F618B">
            <w:pPr>
              <w:tabs>
                <w:tab w:val="left" w:pos="900"/>
                <w:tab w:val="left" w:pos="2160"/>
              </w:tabs>
              <w:ind w:right="-25" w:firstLine="301"/>
              <w:jc w:val="both"/>
            </w:pPr>
            <w:r w:rsidRPr="00802D87">
              <w:t>1.</w:t>
            </w:r>
            <w:r>
              <w:t>1</w:t>
            </w:r>
            <w:r w:rsidRPr="00802D87">
              <w:t>.1. Копія договору та відгуку, наданого учаснику замовником, із зазначенням дати укладення і номеру договору, на який надано відгук, а також стану належного виконання договору стосовно якості і строків. Відгук надається щодо договору копія якого надана учасником у складі тендерної пропозиції.</w:t>
            </w:r>
          </w:p>
          <w:p w:rsidR="00234498" w:rsidRPr="00802D87" w:rsidRDefault="00234498" w:rsidP="005F618B">
            <w:pPr>
              <w:tabs>
                <w:tab w:val="left" w:pos="900"/>
                <w:tab w:val="left" w:pos="2160"/>
              </w:tabs>
              <w:ind w:right="-25" w:firstLine="301"/>
              <w:jc w:val="both"/>
            </w:pPr>
            <w:r w:rsidRPr="00CA2E8A">
              <w:rPr>
                <w:color w:val="000000"/>
                <w:spacing w:val="-1"/>
              </w:rPr>
              <w:t xml:space="preserve">Аналогічним договором у розумінні цієї тендерної документації, є договір за предметом закупівлі </w:t>
            </w:r>
            <w:r w:rsidRPr="00CA2E8A">
              <w:rPr>
                <w:color w:val="000000"/>
              </w:rPr>
              <w:t xml:space="preserve">або договір  </w:t>
            </w:r>
            <w:r w:rsidRPr="00CA2E8A">
              <w:rPr>
                <w:color w:val="000000"/>
                <w:spacing w:val="-1"/>
              </w:rPr>
              <w:t xml:space="preserve">предметом якого </w:t>
            </w:r>
            <w:r>
              <w:rPr>
                <w:color w:val="000000"/>
                <w:spacing w:val="-1"/>
              </w:rPr>
              <w:t>надання послуг поштового зв’язку.</w:t>
            </w:r>
          </w:p>
        </w:tc>
      </w:tr>
      <w:tr w:rsidR="00234498" w:rsidRPr="00802D87" w:rsidTr="005F618B">
        <w:tc>
          <w:tcPr>
            <w:tcW w:w="5000" w:type="pct"/>
            <w:gridSpan w:val="2"/>
          </w:tcPr>
          <w:p w:rsidR="00234498" w:rsidRPr="00802D87" w:rsidRDefault="00234498" w:rsidP="005F618B">
            <w:pPr>
              <w:widowControl w:val="0"/>
              <w:autoSpaceDE w:val="0"/>
              <w:jc w:val="center"/>
              <w:rPr>
                <w:lang w:eastAsia="ru-RU"/>
              </w:rPr>
            </w:pPr>
            <w:r w:rsidRPr="00802D87">
              <w:rPr>
                <w:b/>
                <w:lang w:eastAsia="ru-RU"/>
              </w:rPr>
              <w:t>2. Документи, які свідчать про відсутність підстав для відмови учаснику в участі у процедурі закупівлі передбачені статтею 17 Закону</w:t>
            </w:r>
          </w:p>
        </w:tc>
      </w:tr>
      <w:tr w:rsidR="00234498" w:rsidRPr="00802D87" w:rsidTr="005F618B">
        <w:tc>
          <w:tcPr>
            <w:tcW w:w="1628" w:type="pct"/>
          </w:tcPr>
          <w:p w:rsidR="00234498" w:rsidRPr="00802D87" w:rsidRDefault="00234498" w:rsidP="005F618B">
            <w:pPr>
              <w:widowControl w:val="0"/>
              <w:autoSpaceDE w:val="0"/>
              <w:jc w:val="both"/>
              <w:rPr>
                <w:b/>
                <w:lang w:eastAsia="ru-RU"/>
              </w:rPr>
            </w:pPr>
            <w:r w:rsidRPr="00802D87">
              <w:rPr>
                <w:b/>
                <w:lang w:eastAsia="ru-RU"/>
              </w:rPr>
              <w:t>Вимоги згідно статті 17 Закону</w:t>
            </w:r>
          </w:p>
        </w:tc>
        <w:tc>
          <w:tcPr>
            <w:tcW w:w="3372" w:type="pct"/>
          </w:tcPr>
          <w:p w:rsidR="00234498" w:rsidRPr="00802D87" w:rsidRDefault="00234498" w:rsidP="005F618B">
            <w:pPr>
              <w:widowControl w:val="0"/>
              <w:autoSpaceDE w:val="0"/>
              <w:jc w:val="both"/>
              <w:rPr>
                <w:b/>
                <w:lang w:eastAsia="ru-RU"/>
              </w:rPr>
            </w:pPr>
            <w:r w:rsidRPr="00802D87">
              <w:rPr>
                <w:b/>
                <w:lang w:eastAsia="ru-RU"/>
              </w:rPr>
              <w:t>Документальне підтвердження відповідності учасника вимогам встановленим статтею 17 Закону</w:t>
            </w:r>
          </w:p>
        </w:tc>
      </w:tr>
      <w:tr w:rsidR="00234498" w:rsidRPr="00802D87" w:rsidTr="005F618B">
        <w:tc>
          <w:tcPr>
            <w:tcW w:w="1628" w:type="pct"/>
          </w:tcPr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176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 xml:space="preserve">2.1. Відомості про юридичну особу, яка є учасником процедури закупівлі, </w:t>
            </w:r>
            <w:proofErr w:type="spellStart"/>
            <w:r w:rsidRPr="00802D87">
              <w:rPr>
                <w:spacing w:val="-1"/>
              </w:rPr>
              <w:t>внесено</w:t>
            </w:r>
            <w:proofErr w:type="spellEnd"/>
            <w:r w:rsidRPr="00802D87">
              <w:rPr>
                <w:spacing w:val="-1"/>
              </w:rPr>
              <w:t xml:space="preserve"> до Єдиного державного реєстру осіб, які вчинили корупційні або пов'язані з корупцією правопорушення.</w:t>
            </w:r>
          </w:p>
        </w:tc>
        <w:tc>
          <w:tcPr>
            <w:tcW w:w="3372" w:type="pct"/>
            <w:vMerge w:val="restart"/>
            <w:vAlign w:val="center"/>
          </w:tcPr>
          <w:p w:rsidR="00234498" w:rsidRPr="002D11F9" w:rsidRDefault="00234498" w:rsidP="005F618B">
            <w:pPr>
              <w:ind w:firstLine="567"/>
              <w:jc w:val="both"/>
              <w:rPr>
                <w:color w:val="000000"/>
                <w:shd w:val="solid" w:color="FFFFFF" w:fill="FFFFFF"/>
              </w:rPr>
            </w:pPr>
            <w:r w:rsidRPr="007D6D61">
              <w:rPr>
                <w:color w:val="000000"/>
                <w:shd w:val="solid" w:color="FFFFFF" w:fill="FFFFFF"/>
                <w:lang w:eastAsia="en-US"/>
              </w:rPr>
              <w:t xml:space="preserve">Учасник процедури закупівлі підтверджує відсутність підстав, зазначених </w:t>
            </w:r>
            <w:r>
              <w:rPr>
                <w:color w:val="000000"/>
                <w:shd w:val="solid" w:color="FFFFFF" w:fill="FFFFFF"/>
                <w:lang w:eastAsia="en-US"/>
              </w:rPr>
              <w:t>у цьому розділі</w:t>
            </w:r>
            <w:r w:rsidRPr="007D6D61">
              <w:rPr>
                <w:color w:val="000000"/>
                <w:shd w:val="solid" w:color="FFFFFF" w:fill="FFFFFF"/>
                <w:lang w:eastAsia="en-US"/>
              </w:rPr>
              <w:t xml:space="preserve">, шляхом самостійного декларування відсутності таких підстав в електронній системі </w:t>
            </w:r>
            <w:proofErr w:type="spellStart"/>
            <w:r w:rsidRPr="007D6D61">
              <w:rPr>
                <w:color w:val="000000"/>
                <w:shd w:val="solid" w:color="FFFFFF" w:fill="FFFFFF"/>
                <w:lang w:eastAsia="en-US"/>
              </w:rPr>
              <w:t>закупівель</w:t>
            </w:r>
            <w:proofErr w:type="spellEnd"/>
            <w:r w:rsidRPr="007D6D61">
              <w:rPr>
                <w:color w:val="000000"/>
                <w:shd w:val="solid" w:color="FFFFFF" w:fill="FFFFFF"/>
                <w:lang w:eastAsia="en-US"/>
              </w:rPr>
              <w:t xml:space="preserve"> під час подання тендерної пропозиції.</w:t>
            </w:r>
          </w:p>
          <w:p w:rsidR="00234498" w:rsidRPr="00802D87" w:rsidRDefault="00234498" w:rsidP="005F618B">
            <w:pPr>
              <w:ind w:firstLine="222"/>
              <w:jc w:val="both"/>
              <w:rPr>
                <w:spacing w:val="-1"/>
              </w:rPr>
            </w:pPr>
          </w:p>
        </w:tc>
      </w:tr>
      <w:tr w:rsidR="00234498" w:rsidRPr="00802D87" w:rsidTr="005F618B">
        <w:tc>
          <w:tcPr>
            <w:tcW w:w="1628" w:type="pct"/>
          </w:tcPr>
          <w:p w:rsidR="00234498" w:rsidRPr="0062198B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176"/>
              <w:jc w:val="both"/>
              <w:rPr>
                <w:spacing w:val="-1"/>
              </w:rPr>
            </w:pPr>
            <w:r w:rsidRPr="0062198B">
              <w:rPr>
                <w:spacing w:val="-1"/>
              </w:rPr>
              <w:t xml:space="preserve">2.2. </w:t>
            </w:r>
            <w:r w:rsidRPr="0062198B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  <w:tc>
          <w:tcPr>
            <w:tcW w:w="3372" w:type="pct"/>
            <w:vMerge/>
            <w:vAlign w:val="center"/>
          </w:tcPr>
          <w:p w:rsidR="00234498" w:rsidRPr="00802D87" w:rsidRDefault="00234498" w:rsidP="005F618B">
            <w:pPr>
              <w:ind w:firstLine="222"/>
              <w:jc w:val="both"/>
              <w:rPr>
                <w:spacing w:val="-1"/>
              </w:rPr>
            </w:pPr>
          </w:p>
        </w:tc>
      </w:tr>
      <w:tr w:rsidR="00234498" w:rsidRPr="00802D87" w:rsidTr="005F618B">
        <w:trPr>
          <w:trHeight w:val="539"/>
        </w:trPr>
        <w:tc>
          <w:tcPr>
            <w:tcW w:w="1628" w:type="pct"/>
          </w:tcPr>
          <w:p w:rsidR="00234498" w:rsidRPr="00802D87" w:rsidRDefault="00234498" w:rsidP="005F618B">
            <w:pPr>
              <w:ind w:firstLine="176"/>
              <w:jc w:val="both"/>
              <w:rPr>
                <w:spacing w:val="-1"/>
                <w:lang w:eastAsia="ru-RU"/>
              </w:rPr>
            </w:pPr>
            <w:r w:rsidRPr="00802D87">
              <w:rPr>
                <w:spacing w:val="-1"/>
                <w:lang w:eastAsia="ru-RU"/>
              </w:rPr>
              <w:t xml:space="preserve">2.3. </w:t>
            </w:r>
            <w:r w:rsidRPr="00802D87">
              <w:rPr>
                <w:color w:val="000000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</w:t>
            </w:r>
            <w:r w:rsidRPr="00802D87">
              <w:rPr>
                <w:color w:val="000000"/>
              </w:rPr>
              <w:lastRenderedPageBreak/>
              <w:t>(зокрема, пов’язане з хабарництвом та відмиванням коштів), судимість з якої не знято або не погашено у встановленому законом порядку.</w:t>
            </w:r>
          </w:p>
        </w:tc>
        <w:tc>
          <w:tcPr>
            <w:tcW w:w="3372" w:type="pct"/>
            <w:vMerge/>
            <w:vAlign w:val="center"/>
          </w:tcPr>
          <w:p w:rsidR="00234498" w:rsidRPr="00802D87" w:rsidRDefault="00234498" w:rsidP="005F618B">
            <w:pPr>
              <w:ind w:firstLine="222"/>
              <w:jc w:val="both"/>
              <w:rPr>
                <w:spacing w:val="-1"/>
                <w:lang w:eastAsia="ru-RU"/>
              </w:rPr>
            </w:pPr>
          </w:p>
        </w:tc>
      </w:tr>
      <w:tr w:rsidR="00234498" w:rsidRPr="00802D87" w:rsidTr="005F618B">
        <w:trPr>
          <w:trHeight w:val="539"/>
        </w:trPr>
        <w:tc>
          <w:tcPr>
            <w:tcW w:w="1628" w:type="pct"/>
          </w:tcPr>
          <w:p w:rsidR="00234498" w:rsidRPr="00802D87" w:rsidRDefault="00234498" w:rsidP="005F618B">
            <w:pPr>
              <w:ind w:firstLine="176"/>
              <w:jc w:val="both"/>
              <w:rPr>
                <w:spacing w:val="-1"/>
                <w:lang w:eastAsia="ru-RU"/>
              </w:rPr>
            </w:pPr>
            <w:r w:rsidRPr="00802D87">
              <w:rPr>
                <w:spacing w:val="-1"/>
                <w:lang w:eastAsia="ru-RU"/>
              </w:rPr>
              <w:lastRenderedPageBreak/>
              <w:t xml:space="preserve">2.4. </w:t>
            </w:r>
            <w:r w:rsidRPr="0062198B"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>
              <w:t>.</w:t>
            </w:r>
          </w:p>
        </w:tc>
        <w:tc>
          <w:tcPr>
            <w:tcW w:w="3372" w:type="pct"/>
            <w:vMerge/>
            <w:vAlign w:val="center"/>
          </w:tcPr>
          <w:p w:rsidR="00234498" w:rsidRPr="00802D87" w:rsidRDefault="00234498" w:rsidP="005F618B">
            <w:pPr>
              <w:ind w:firstLine="222"/>
              <w:jc w:val="both"/>
              <w:rPr>
                <w:spacing w:val="-1"/>
                <w:lang w:eastAsia="ru-RU"/>
              </w:rPr>
            </w:pPr>
          </w:p>
        </w:tc>
      </w:tr>
      <w:tr w:rsidR="00234498" w:rsidRPr="005F262D" w:rsidTr="005F618B">
        <w:trPr>
          <w:trHeight w:val="539"/>
        </w:trPr>
        <w:tc>
          <w:tcPr>
            <w:tcW w:w="1628" w:type="pct"/>
          </w:tcPr>
          <w:p w:rsidR="00234498" w:rsidRPr="005F262D" w:rsidRDefault="00234498" w:rsidP="005F618B">
            <w:pPr>
              <w:ind w:firstLine="176"/>
              <w:jc w:val="both"/>
              <w:rPr>
                <w:spacing w:val="-1"/>
                <w:lang w:eastAsia="ru-RU"/>
              </w:rPr>
            </w:pPr>
            <w:r w:rsidRPr="005F262D">
              <w:rPr>
                <w:spacing w:val="-1"/>
                <w:lang w:eastAsia="ru-RU"/>
              </w:rPr>
              <w:t xml:space="preserve">2.5. </w:t>
            </w:r>
            <w:r w:rsidRPr="005F262D">
              <w:rPr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процедура.</w:t>
            </w:r>
          </w:p>
        </w:tc>
        <w:tc>
          <w:tcPr>
            <w:tcW w:w="3372" w:type="pct"/>
            <w:vMerge/>
            <w:vAlign w:val="center"/>
          </w:tcPr>
          <w:p w:rsidR="00234498" w:rsidRPr="005F262D" w:rsidRDefault="00234498" w:rsidP="005F618B">
            <w:pPr>
              <w:ind w:firstLine="222"/>
              <w:jc w:val="both"/>
              <w:rPr>
                <w:spacing w:val="-1"/>
              </w:rPr>
            </w:pPr>
          </w:p>
        </w:tc>
      </w:tr>
      <w:tr w:rsidR="00234498" w:rsidRPr="00802D87" w:rsidTr="005F618B">
        <w:trPr>
          <w:trHeight w:val="539"/>
        </w:trPr>
        <w:tc>
          <w:tcPr>
            <w:tcW w:w="1628" w:type="pct"/>
          </w:tcPr>
          <w:p w:rsidR="00234498" w:rsidRPr="00802D87" w:rsidRDefault="00234498" w:rsidP="005F618B">
            <w:pPr>
              <w:ind w:firstLine="176"/>
              <w:jc w:val="both"/>
              <w:rPr>
                <w:spacing w:val="-1"/>
                <w:lang w:eastAsia="ru-RU"/>
              </w:rPr>
            </w:pPr>
            <w:r w:rsidRPr="00802D87">
              <w:rPr>
                <w:spacing w:val="-1"/>
                <w:lang w:eastAsia="ru-RU"/>
              </w:rPr>
              <w:t xml:space="preserve">2.6. </w:t>
            </w:r>
            <w:r w:rsidRPr="002D11F9">
              <w:rPr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</w:t>
            </w:r>
            <w:hyperlink r:id="rId5" w:anchor="n174" w:tgtFrame="_blank" w:history="1">
              <w:r w:rsidRPr="002D11F9">
                <w:t>пунктом 9</w:t>
              </w:r>
            </w:hyperlink>
            <w:r w:rsidRPr="002D11F9">
              <w:rPr>
                <w:shd w:val="clear" w:color="auto" w:fill="FFFFFF"/>
              </w:rPr>
              <w:t xml:space="preserve">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нерезидентів).</w:t>
            </w:r>
          </w:p>
        </w:tc>
        <w:tc>
          <w:tcPr>
            <w:tcW w:w="3372" w:type="pct"/>
            <w:vMerge/>
            <w:vAlign w:val="center"/>
          </w:tcPr>
          <w:p w:rsidR="00234498" w:rsidRPr="00802D87" w:rsidRDefault="00234498" w:rsidP="005F618B">
            <w:pPr>
              <w:ind w:firstLine="222"/>
              <w:jc w:val="both"/>
              <w:rPr>
                <w:spacing w:val="-1"/>
              </w:rPr>
            </w:pPr>
          </w:p>
        </w:tc>
      </w:tr>
      <w:tr w:rsidR="00234498" w:rsidRPr="00802D87" w:rsidTr="005F618B">
        <w:trPr>
          <w:trHeight w:val="539"/>
        </w:trPr>
        <w:tc>
          <w:tcPr>
            <w:tcW w:w="1628" w:type="pct"/>
          </w:tcPr>
          <w:p w:rsidR="00234498" w:rsidRPr="00802D87" w:rsidRDefault="00234498" w:rsidP="005F618B">
            <w:pPr>
              <w:ind w:firstLine="176"/>
              <w:jc w:val="both"/>
              <w:rPr>
                <w:spacing w:val="-1"/>
                <w:lang w:eastAsia="ru-RU"/>
              </w:rPr>
            </w:pPr>
            <w:r w:rsidRPr="00802D87">
              <w:rPr>
                <w:spacing w:val="-1"/>
                <w:lang w:eastAsia="ru-RU"/>
              </w:rPr>
              <w:t>2.7. 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лотом).</w:t>
            </w:r>
          </w:p>
        </w:tc>
        <w:tc>
          <w:tcPr>
            <w:tcW w:w="3372" w:type="pct"/>
            <w:vMerge/>
            <w:vAlign w:val="center"/>
          </w:tcPr>
          <w:p w:rsidR="00234498" w:rsidRPr="00802D87" w:rsidRDefault="00234498" w:rsidP="005F618B">
            <w:pPr>
              <w:ind w:firstLine="222"/>
              <w:jc w:val="both"/>
              <w:rPr>
                <w:spacing w:val="-1"/>
              </w:rPr>
            </w:pPr>
          </w:p>
        </w:tc>
      </w:tr>
      <w:tr w:rsidR="00234498" w:rsidRPr="00802D87" w:rsidTr="005F618B">
        <w:trPr>
          <w:trHeight w:val="539"/>
        </w:trPr>
        <w:tc>
          <w:tcPr>
            <w:tcW w:w="1628" w:type="pct"/>
          </w:tcPr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176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>2.8.</w:t>
            </w:r>
            <w:r w:rsidRPr="00802D87">
              <w:t xml:space="preserve"> </w:t>
            </w:r>
            <w:r>
              <w:rPr>
                <w:color w:val="000000"/>
              </w:rPr>
              <w:t>К</w:t>
            </w:r>
            <w:r w:rsidRPr="000A2704">
              <w:rPr>
                <w:color w:val="000000"/>
              </w:rPr>
              <w:t xml:space="preserve">ерівника учасника процедури закупівлі, </w:t>
            </w:r>
            <w:r w:rsidRPr="000A2704">
              <w:rPr>
                <w:color w:val="000000"/>
              </w:rPr>
              <w:lastRenderedPageBreak/>
              <w:t>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  <w:tc>
          <w:tcPr>
            <w:tcW w:w="3372" w:type="pct"/>
            <w:vMerge/>
            <w:vAlign w:val="center"/>
          </w:tcPr>
          <w:p w:rsidR="00234498" w:rsidRPr="00802D87" w:rsidRDefault="00234498" w:rsidP="005F618B">
            <w:pPr>
              <w:ind w:firstLine="222"/>
              <w:jc w:val="both"/>
              <w:rPr>
                <w:spacing w:val="-1"/>
              </w:rPr>
            </w:pPr>
          </w:p>
        </w:tc>
      </w:tr>
      <w:tr w:rsidR="00234498" w:rsidRPr="00802D87" w:rsidTr="005F618B">
        <w:trPr>
          <w:trHeight w:val="539"/>
        </w:trPr>
        <w:tc>
          <w:tcPr>
            <w:tcW w:w="1628" w:type="pct"/>
          </w:tcPr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176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lastRenderedPageBreak/>
              <w:t xml:space="preserve">2.10. </w:t>
            </w:r>
            <w:r>
              <w:t>У</w:t>
            </w:r>
            <w:r w:rsidRPr="000A2704"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</w:tc>
        <w:tc>
          <w:tcPr>
            <w:tcW w:w="3372" w:type="pct"/>
            <w:vMerge/>
            <w:vAlign w:val="center"/>
          </w:tcPr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222"/>
              <w:jc w:val="both"/>
              <w:rPr>
                <w:spacing w:val="-1"/>
              </w:rPr>
            </w:pPr>
          </w:p>
        </w:tc>
      </w:tr>
      <w:tr w:rsidR="00234498" w:rsidRPr="00802D87" w:rsidTr="005F618B">
        <w:trPr>
          <w:trHeight w:val="276"/>
        </w:trPr>
        <w:tc>
          <w:tcPr>
            <w:tcW w:w="5000" w:type="pct"/>
            <w:gridSpan w:val="2"/>
            <w:vAlign w:val="center"/>
          </w:tcPr>
          <w:p w:rsidR="00234498" w:rsidRPr="00802D87" w:rsidRDefault="00234498" w:rsidP="005F618B">
            <w:pPr>
              <w:widowControl w:val="0"/>
              <w:autoSpaceDE w:val="0"/>
              <w:jc w:val="center"/>
              <w:rPr>
                <w:spacing w:val="-1"/>
                <w:lang w:eastAsia="ru-RU"/>
              </w:rPr>
            </w:pPr>
            <w:r w:rsidRPr="00802D87">
              <w:rPr>
                <w:b/>
                <w:lang w:eastAsia="ru-RU"/>
              </w:rPr>
              <w:t>3. Інші документи</w:t>
            </w:r>
          </w:p>
        </w:tc>
      </w:tr>
      <w:tr w:rsidR="00234498" w:rsidRPr="00802D87" w:rsidTr="005F618B">
        <w:trPr>
          <w:trHeight w:val="219"/>
        </w:trPr>
        <w:tc>
          <w:tcPr>
            <w:tcW w:w="1628" w:type="pct"/>
            <w:vAlign w:val="center"/>
          </w:tcPr>
          <w:p w:rsidR="00234498" w:rsidRPr="00802D87" w:rsidRDefault="00234498" w:rsidP="005F618B">
            <w:pPr>
              <w:widowControl w:val="0"/>
              <w:autoSpaceDE w:val="0"/>
              <w:rPr>
                <w:spacing w:val="-1"/>
                <w:lang w:eastAsia="ru-RU"/>
              </w:rPr>
            </w:pPr>
            <w:r w:rsidRPr="00802D87">
              <w:rPr>
                <w:lang w:eastAsia="ru-RU"/>
              </w:rPr>
              <w:t>3.1. Інші вимоги</w:t>
            </w:r>
          </w:p>
        </w:tc>
        <w:tc>
          <w:tcPr>
            <w:tcW w:w="3372" w:type="pct"/>
            <w:vAlign w:val="center"/>
          </w:tcPr>
          <w:p w:rsidR="00234498" w:rsidRPr="00802D87" w:rsidRDefault="00234498" w:rsidP="005F618B">
            <w:pPr>
              <w:widowControl w:val="0"/>
              <w:autoSpaceDE w:val="0"/>
              <w:ind w:firstLine="266"/>
              <w:jc w:val="both"/>
              <w:rPr>
                <w:rFonts w:eastAsia="Calibri"/>
                <w:spacing w:val="-1"/>
              </w:rPr>
            </w:pPr>
            <w:r w:rsidRPr="00802D87">
              <w:rPr>
                <w:rFonts w:eastAsia="Calibri"/>
                <w:spacing w:val="-1"/>
              </w:rPr>
              <w:t>3.1.1. Копії документів, що підтверджують повноваження посадової особи або представника учасника процедури закупівлі щодо укладення договору про закупівлю, а саме:</w:t>
            </w:r>
          </w:p>
          <w:p w:rsidR="00234498" w:rsidRPr="00802D87" w:rsidRDefault="00234498" w:rsidP="005F618B">
            <w:pPr>
              <w:tabs>
                <w:tab w:val="left" w:pos="133"/>
              </w:tabs>
              <w:suppressAutoHyphens/>
              <w:ind w:firstLine="266"/>
              <w:jc w:val="both"/>
              <w:rPr>
                <w:rFonts w:eastAsia="Calibri"/>
                <w:spacing w:val="-1"/>
              </w:rPr>
            </w:pPr>
            <w:r w:rsidRPr="00802D87">
              <w:rPr>
                <w:rFonts w:eastAsia="Calibri"/>
                <w:spacing w:val="-1"/>
              </w:rPr>
              <w:t>- Статут;</w:t>
            </w:r>
          </w:p>
          <w:p w:rsidR="00234498" w:rsidRPr="00802D87" w:rsidRDefault="00234498" w:rsidP="005F618B">
            <w:pPr>
              <w:tabs>
                <w:tab w:val="left" w:pos="133"/>
              </w:tabs>
              <w:suppressAutoHyphens/>
              <w:ind w:firstLine="266"/>
              <w:jc w:val="both"/>
              <w:rPr>
                <w:rFonts w:eastAsia="Calibri"/>
                <w:spacing w:val="-1"/>
              </w:rPr>
            </w:pPr>
            <w:r w:rsidRPr="00802D87">
              <w:rPr>
                <w:rFonts w:eastAsia="Calibri"/>
                <w:spacing w:val="-1"/>
              </w:rPr>
              <w:t>- наказ (розпорядження) та протокол зборів засновників (учасників, акціонерів) або довіреність (доручення) або інший документ, що підтверджує повноваження посадової особи або представника учасника на підписання договору про закупівлю;</w:t>
            </w:r>
          </w:p>
          <w:p w:rsidR="00234498" w:rsidRDefault="00234498" w:rsidP="005F618B">
            <w:pPr>
              <w:tabs>
                <w:tab w:val="left" w:pos="133"/>
              </w:tabs>
              <w:suppressAutoHyphens/>
              <w:ind w:firstLine="266"/>
              <w:jc w:val="both"/>
              <w:rPr>
                <w:lang w:eastAsia="ru-RU"/>
              </w:rPr>
            </w:pPr>
            <w:r w:rsidRPr="00802D87">
              <w:rPr>
                <w:color w:val="000000"/>
                <w:lang w:eastAsia="ru-RU"/>
              </w:rPr>
              <w:t xml:space="preserve">- </w:t>
            </w:r>
            <w:r w:rsidRPr="00802D87">
              <w:rPr>
                <w:lang w:eastAsia="ru-RU"/>
              </w:rPr>
              <w:t>«Баланс» та «Звіт про фінансові результати» за 202</w:t>
            </w:r>
            <w:r>
              <w:rPr>
                <w:lang w:eastAsia="ru-RU"/>
              </w:rPr>
              <w:t>2</w:t>
            </w:r>
            <w:r w:rsidRPr="00802D87">
              <w:rPr>
                <w:lang w:eastAsia="ru-RU"/>
              </w:rPr>
              <w:t xml:space="preserve"> рік. </w:t>
            </w:r>
          </w:p>
          <w:p w:rsidR="00234498" w:rsidRPr="00802D87" w:rsidRDefault="00234498" w:rsidP="005F618B">
            <w:pPr>
              <w:tabs>
                <w:tab w:val="left" w:pos="133"/>
              </w:tabs>
              <w:suppressAutoHyphens/>
              <w:ind w:firstLine="266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3.1.2. Довідка у довільній формі, якою підтверджується, що учасник не </w:t>
            </w:r>
            <w:r w:rsidRPr="004D10FE">
              <w:rPr>
                <w:lang w:eastAsia="ru-RU"/>
              </w:rPr>
              <w:t xml:space="preserve">є громадянином Російської Федерації/Республіки Білорусь (крім тих, що проживають на території України на законних підставах); юридичною особою, створеною та зареєстрованою відповідно до законодавства Російської Федерації/Республіки Білорусь; юридичною особою, створеною та зареєстрованою відповідно до законодавства України, кінцевим </w:t>
            </w:r>
            <w:proofErr w:type="spellStart"/>
            <w:r w:rsidRPr="004D10FE">
              <w:rPr>
                <w:lang w:eastAsia="ru-RU"/>
              </w:rPr>
              <w:t>бенефіціарним</w:t>
            </w:r>
            <w:proofErr w:type="spellEnd"/>
            <w:r w:rsidRPr="004D10FE">
              <w:rPr>
                <w:lang w:eastAsia="ru-RU"/>
              </w:rPr>
      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юридичною особою, створеною та зареєстрованою відповідно до законодавства Російсько</w:t>
            </w:r>
            <w:r>
              <w:rPr>
                <w:lang w:eastAsia="ru-RU"/>
              </w:rPr>
              <w:t xml:space="preserve">ї Федерації/Республіки Білорусь та не пропонує в тендерній пропозиції товари походженням з </w:t>
            </w:r>
            <w:r w:rsidRPr="004D10FE">
              <w:rPr>
                <w:lang w:eastAsia="ru-RU"/>
              </w:rPr>
              <w:t>Російсько</w:t>
            </w:r>
            <w:r>
              <w:rPr>
                <w:lang w:eastAsia="ru-RU"/>
              </w:rPr>
              <w:t>ї Федерації/Республіки Білорусь.</w:t>
            </w:r>
          </w:p>
        </w:tc>
      </w:tr>
      <w:tr w:rsidR="00234498" w:rsidRPr="00802D87" w:rsidTr="005F618B">
        <w:trPr>
          <w:trHeight w:val="276"/>
        </w:trPr>
        <w:tc>
          <w:tcPr>
            <w:tcW w:w="5000" w:type="pct"/>
            <w:gridSpan w:val="2"/>
            <w:vAlign w:val="center"/>
          </w:tcPr>
          <w:p w:rsidR="00234498" w:rsidRPr="00802D87" w:rsidRDefault="00234498" w:rsidP="005F618B">
            <w:pPr>
              <w:widowControl w:val="0"/>
              <w:autoSpaceDE w:val="0"/>
              <w:jc w:val="center"/>
              <w:rPr>
                <w:b/>
                <w:lang w:eastAsia="ru-RU"/>
              </w:rPr>
            </w:pPr>
            <w:r w:rsidRPr="00802D87">
              <w:rPr>
                <w:b/>
                <w:lang w:eastAsia="ru-RU"/>
              </w:rPr>
              <w:t>Розділ ІІ. Документи, які повинен подати переможець торгів</w:t>
            </w:r>
          </w:p>
        </w:tc>
      </w:tr>
      <w:tr w:rsidR="00234498" w:rsidRPr="00802D87" w:rsidTr="005F618B">
        <w:trPr>
          <w:trHeight w:val="239"/>
        </w:trPr>
        <w:tc>
          <w:tcPr>
            <w:tcW w:w="5000" w:type="pct"/>
            <w:gridSpan w:val="2"/>
            <w:vAlign w:val="center"/>
          </w:tcPr>
          <w:p w:rsidR="00234498" w:rsidRPr="00802D87" w:rsidRDefault="00234498" w:rsidP="005F618B">
            <w:pPr>
              <w:widowControl w:val="0"/>
              <w:autoSpaceDE w:val="0"/>
              <w:jc w:val="center"/>
              <w:rPr>
                <w:b/>
                <w:lang w:eastAsia="ru-RU"/>
              </w:rPr>
            </w:pPr>
            <w:r w:rsidRPr="00802D87">
              <w:rPr>
                <w:b/>
                <w:lang w:eastAsia="ru-RU"/>
              </w:rPr>
              <w:lastRenderedPageBreak/>
              <w:t>1. Документи, які подаються з метою виконання вимог частини 6 статті 17 Закону, що підтверджують відсутність підстав для відмови учаснику в участі у процедурі закупівлі передбачених статтею 17 Закону</w:t>
            </w:r>
          </w:p>
        </w:tc>
      </w:tr>
      <w:tr w:rsidR="00234498" w:rsidRPr="00802D87" w:rsidTr="005F618B">
        <w:trPr>
          <w:trHeight w:val="445"/>
        </w:trPr>
        <w:tc>
          <w:tcPr>
            <w:tcW w:w="1628" w:type="pct"/>
          </w:tcPr>
          <w:p w:rsidR="00234498" w:rsidRPr="00802D87" w:rsidRDefault="00234498" w:rsidP="005F618B">
            <w:pPr>
              <w:widowControl w:val="0"/>
              <w:autoSpaceDE w:val="0"/>
              <w:jc w:val="both"/>
              <w:rPr>
                <w:b/>
                <w:lang w:eastAsia="ru-RU"/>
              </w:rPr>
            </w:pPr>
            <w:r w:rsidRPr="00802D87">
              <w:rPr>
                <w:b/>
                <w:lang w:eastAsia="ru-RU"/>
              </w:rPr>
              <w:t>Вимоги згідно статті 17 Закону</w:t>
            </w:r>
          </w:p>
        </w:tc>
        <w:tc>
          <w:tcPr>
            <w:tcW w:w="3372" w:type="pct"/>
          </w:tcPr>
          <w:p w:rsidR="00234498" w:rsidRPr="00802D87" w:rsidRDefault="00234498" w:rsidP="005F618B">
            <w:pPr>
              <w:widowControl w:val="0"/>
              <w:autoSpaceDE w:val="0"/>
              <w:jc w:val="both"/>
              <w:rPr>
                <w:b/>
                <w:lang w:eastAsia="ru-RU"/>
              </w:rPr>
            </w:pPr>
            <w:r w:rsidRPr="00802D87">
              <w:rPr>
                <w:b/>
                <w:lang w:eastAsia="ru-RU"/>
              </w:rPr>
              <w:t>Документальне підтвердження відповідності учасника вимогам встановленим статтею 17 Закону</w:t>
            </w:r>
          </w:p>
        </w:tc>
      </w:tr>
      <w:tr w:rsidR="00234498" w:rsidRPr="00802D87" w:rsidTr="005F618B">
        <w:trPr>
          <w:trHeight w:val="1731"/>
        </w:trPr>
        <w:tc>
          <w:tcPr>
            <w:tcW w:w="1628" w:type="pct"/>
          </w:tcPr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176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 xml:space="preserve">1.1. Відомості про юридичну особу, яка є учасником процедури закупівлі, </w:t>
            </w:r>
            <w:proofErr w:type="spellStart"/>
            <w:r w:rsidRPr="00802D87">
              <w:rPr>
                <w:spacing w:val="-1"/>
              </w:rPr>
              <w:t>внесено</w:t>
            </w:r>
            <w:proofErr w:type="spellEnd"/>
            <w:r w:rsidRPr="00802D87">
              <w:rPr>
                <w:spacing w:val="-1"/>
              </w:rPr>
              <w:t xml:space="preserve"> до Єдиного державного реєстру осіб, які вчинили корупційні або пов'язані з корупцією правопорушення.</w:t>
            </w:r>
          </w:p>
        </w:tc>
        <w:tc>
          <w:tcPr>
            <w:tcW w:w="3372" w:type="pct"/>
            <w:vAlign w:val="center"/>
          </w:tcPr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222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 xml:space="preserve">Оригінал інформаційної довідки з Єдиного державного реєстру осіб, які вчинили корупційні або пов’язані з корупцією правопорушення видана Національним агентством з питань запобігання корупції не раніше дати кінцевого строку подання пропозицій через електронну систему </w:t>
            </w:r>
            <w:proofErr w:type="spellStart"/>
            <w:r w:rsidRPr="00802D87">
              <w:rPr>
                <w:spacing w:val="-1"/>
              </w:rPr>
              <w:t>закупівель</w:t>
            </w:r>
            <w:proofErr w:type="spellEnd"/>
            <w:r w:rsidRPr="00802D87">
              <w:rPr>
                <w:spacing w:val="-1"/>
              </w:rPr>
              <w:t>.</w:t>
            </w:r>
          </w:p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222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>Інформаційна довідка надається в електронній формі щодо юридичної особ</w:t>
            </w:r>
            <w:r>
              <w:rPr>
                <w:spacing w:val="-1"/>
              </w:rPr>
              <w:t>и-переможця процедури закупівлі,</w:t>
            </w:r>
            <w:r w:rsidRPr="00802D87">
              <w:rPr>
                <w:spacing w:val="-1"/>
              </w:rPr>
              <w:t xml:space="preserve"> у строк, що не перевищує </w:t>
            </w:r>
            <w:r>
              <w:rPr>
                <w:spacing w:val="-1"/>
              </w:rPr>
              <w:t>чотирьох</w:t>
            </w:r>
            <w:r w:rsidRPr="00802D87">
              <w:rPr>
                <w:spacing w:val="-1"/>
              </w:rPr>
              <w:t xml:space="preserve"> днів з дати оприлюднення в електронній системі </w:t>
            </w:r>
            <w:proofErr w:type="spellStart"/>
            <w:r w:rsidRPr="00802D87">
              <w:rPr>
                <w:spacing w:val="-1"/>
              </w:rPr>
              <w:t>закупівель</w:t>
            </w:r>
            <w:proofErr w:type="spellEnd"/>
            <w:r w:rsidRPr="00802D87">
              <w:rPr>
                <w:spacing w:val="-1"/>
              </w:rPr>
              <w:t xml:space="preserve"> повідомл</w:t>
            </w:r>
            <w:r>
              <w:rPr>
                <w:spacing w:val="-1"/>
              </w:rPr>
              <w:t>ення про намір укласти договір.</w:t>
            </w:r>
          </w:p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222"/>
              <w:jc w:val="both"/>
              <w:rPr>
                <w:spacing w:val="-1"/>
                <w:lang w:eastAsia="en-US"/>
              </w:rPr>
            </w:pPr>
            <w:r w:rsidRPr="00802D87">
              <w:rPr>
                <w:spacing w:val="-1"/>
              </w:rPr>
              <w:t>Інформаційна довідка обов’язково повинна містити кваліфікований електронний підпис або кваліфіковану електронну печатку Національного агентства з питань запобігання корупції.</w:t>
            </w:r>
          </w:p>
        </w:tc>
      </w:tr>
      <w:tr w:rsidR="00234498" w:rsidRPr="00802D87" w:rsidTr="005F618B">
        <w:trPr>
          <w:trHeight w:val="983"/>
        </w:trPr>
        <w:tc>
          <w:tcPr>
            <w:tcW w:w="1628" w:type="pct"/>
          </w:tcPr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176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 xml:space="preserve">1.2. </w:t>
            </w:r>
            <w:r>
              <w:rPr>
                <w:color w:val="333333"/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</w:t>
            </w:r>
            <w:r w:rsidRPr="000A2704">
              <w:rPr>
                <w:color w:val="333333"/>
                <w:shd w:val="clear" w:color="auto" w:fill="FFFFFF"/>
              </w:rPr>
              <w:t>корупцією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3372" w:type="pct"/>
            <w:vAlign w:val="center"/>
          </w:tcPr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222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 xml:space="preserve">Оригінал інформаційної довідки з Єдиного державного реєстру осіб, які вчинили корупційні або пов’язані з корупцією правопорушення видана Національним агентством з питань запобігання корупції не раніше дати кінцевого строку подання пропозицій через електронну систему </w:t>
            </w:r>
            <w:proofErr w:type="spellStart"/>
            <w:r w:rsidRPr="00802D87">
              <w:rPr>
                <w:spacing w:val="-1"/>
              </w:rPr>
              <w:t>закупівель</w:t>
            </w:r>
            <w:proofErr w:type="spellEnd"/>
            <w:r w:rsidRPr="00802D87">
              <w:rPr>
                <w:spacing w:val="-1"/>
              </w:rPr>
              <w:t>.</w:t>
            </w:r>
          </w:p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222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 xml:space="preserve">Інформаційна довідка надається в електронній формі щодо </w:t>
            </w:r>
            <w:r>
              <w:rPr>
                <w:spacing w:val="-1"/>
              </w:rPr>
              <w:t>керівника</w:t>
            </w:r>
            <w:r w:rsidRPr="00802D87">
              <w:rPr>
                <w:spacing w:val="-1"/>
              </w:rPr>
              <w:t xml:space="preserve"> учасника, у строк, що не перевищує </w:t>
            </w:r>
            <w:r>
              <w:rPr>
                <w:spacing w:val="-1"/>
              </w:rPr>
              <w:t>чотирьох</w:t>
            </w:r>
            <w:r w:rsidRPr="00802D87">
              <w:rPr>
                <w:spacing w:val="-1"/>
              </w:rPr>
              <w:t xml:space="preserve"> днів з дати оприлюднення в електронній системі </w:t>
            </w:r>
            <w:proofErr w:type="spellStart"/>
            <w:r w:rsidRPr="00802D87">
              <w:rPr>
                <w:spacing w:val="-1"/>
              </w:rPr>
              <w:t>закупівель</w:t>
            </w:r>
            <w:proofErr w:type="spellEnd"/>
            <w:r w:rsidRPr="00802D87">
              <w:rPr>
                <w:spacing w:val="-1"/>
              </w:rPr>
              <w:t xml:space="preserve"> повідомлення про намір укласти договір.</w:t>
            </w:r>
          </w:p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222"/>
              <w:jc w:val="both"/>
              <w:rPr>
                <w:spacing w:val="-1"/>
                <w:lang w:eastAsia="en-US"/>
              </w:rPr>
            </w:pPr>
            <w:r w:rsidRPr="00802D87">
              <w:rPr>
                <w:spacing w:val="-1"/>
              </w:rPr>
              <w:t>Інформаційна довідка обов’язково повинна містити кваліфікований електронний підпис або кваліфіковану електронну печатку Національного агентства з питань запобігання корупції.</w:t>
            </w:r>
          </w:p>
        </w:tc>
      </w:tr>
      <w:tr w:rsidR="00234498" w:rsidRPr="00802D87" w:rsidTr="005F618B">
        <w:trPr>
          <w:trHeight w:val="559"/>
        </w:trPr>
        <w:tc>
          <w:tcPr>
            <w:tcW w:w="1628" w:type="pct"/>
          </w:tcPr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176"/>
              <w:jc w:val="both"/>
              <w:rPr>
                <w:spacing w:val="-1"/>
              </w:rPr>
            </w:pPr>
            <w:r w:rsidRPr="00802D87">
              <w:rPr>
                <w:color w:val="000000"/>
              </w:rPr>
              <w:t>1.3. 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3372" w:type="pct"/>
            <w:vAlign w:val="center"/>
          </w:tcPr>
          <w:p w:rsidR="00234498" w:rsidRPr="00802D87" w:rsidRDefault="00234498" w:rsidP="005F618B">
            <w:pPr>
              <w:ind w:firstLine="221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>Оригінал повного витягу в електронній формі із інформаційно-аналітичної системи «Облік відомостей про притягнення особи до кримінальної відповідальності та наявності судимості», засвідченого електронною печаткою Департаменту інформатизації Міністерства внутрішніх справ України, про те, що фізичну особу, яка є учасником не було засуджено за злочин, вчинений з корисних мотивів, судимість з якої</w:t>
            </w:r>
            <w:r>
              <w:rPr>
                <w:spacing w:val="-1"/>
              </w:rPr>
              <w:t xml:space="preserve"> не</w:t>
            </w:r>
            <w:r w:rsidRPr="00802D87">
              <w:rPr>
                <w:spacing w:val="-1"/>
              </w:rPr>
              <w:t xml:space="preserve"> знято або</w:t>
            </w:r>
            <w:r>
              <w:rPr>
                <w:spacing w:val="-1"/>
              </w:rPr>
              <w:t xml:space="preserve"> не</w:t>
            </w:r>
            <w:r w:rsidRPr="00802D87">
              <w:rPr>
                <w:spacing w:val="-1"/>
              </w:rPr>
              <w:t xml:space="preserve"> погашено в установленому законом порядку видано</w:t>
            </w:r>
            <w:r>
              <w:rPr>
                <w:spacing w:val="-1"/>
              </w:rPr>
              <w:t>го</w:t>
            </w:r>
            <w:r w:rsidRPr="00802D87">
              <w:rPr>
                <w:spacing w:val="-1"/>
              </w:rPr>
              <w:t xml:space="preserve"> не раніше дати кінцевого строку подання пропозицій через електронну систему </w:t>
            </w:r>
            <w:proofErr w:type="spellStart"/>
            <w:r w:rsidRPr="00802D87">
              <w:rPr>
                <w:spacing w:val="-1"/>
              </w:rPr>
              <w:t>закупівель</w:t>
            </w:r>
            <w:proofErr w:type="spellEnd"/>
            <w:r w:rsidRPr="00802D87">
              <w:rPr>
                <w:spacing w:val="-1"/>
              </w:rPr>
              <w:t>.</w:t>
            </w:r>
          </w:p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221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 xml:space="preserve">Витяг надається у строк, що не перевищує </w:t>
            </w:r>
            <w:r>
              <w:rPr>
                <w:spacing w:val="-1"/>
              </w:rPr>
              <w:t>чотирьох</w:t>
            </w:r>
            <w:r w:rsidRPr="00802D87">
              <w:rPr>
                <w:spacing w:val="-1"/>
              </w:rPr>
              <w:t xml:space="preserve"> днів з дати оприлюднення в електронній системі </w:t>
            </w:r>
            <w:proofErr w:type="spellStart"/>
            <w:r w:rsidRPr="00802D87">
              <w:rPr>
                <w:spacing w:val="-1"/>
              </w:rPr>
              <w:t>закупівель</w:t>
            </w:r>
            <w:proofErr w:type="spellEnd"/>
            <w:r w:rsidRPr="00802D87">
              <w:rPr>
                <w:spacing w:val="-1"/>
              </w:rPr>
              <w:t xml:space="preserve"> повідомлення про намір укласти договір.</w:t>
            </w:r>
          </w:p>
        </w:tc>
      </w:tr>
      <w:tr w:rsidR="00234498" w:rsidRPr="00802D87" w:rsidTr="005F618B">
        <w:trPr>
          <w:trHeight w:val="3672"/>
        </w:trPr>
        <w:tc>
          <w:tcPr>
            <w:tcW w:w="1628" w:type="pct"/>
          </w:tcPr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176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lastRenderedPageBreak/>
              <w:t xml:space="preserve">1.4. </w:t>
            </w:r>
            <w:r>
              <w:rPr>
                <w:color w:val="000000"/>
              </w:rPr>
              <w:t>К</w:t>
            </w:r>
            <w:r w:rsidRPr="000A2704">
              <w:rPr>
                <w:color w:val="000000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3372" w:type="pct"/>
            <w:vAlign w:val="center"/>
          </w:tcPr>
          <w:p w:rsidR="00234498" w:rsidRPr="00802D87" w:rsidRDefault="00234498" w:rsidP="005F618B">
            <w:pPr>
              <w:ind w:firstLine="221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 xml:space="preserve">Оригінал повного витягу в електронній формі із інформаційно-аналітичної системи «Облік відомостей про притягнення особи до кримінальної відповідальності та наявності судимості», засвідченого електронною печаткою Департаменту інформатизації Міністерства внутрішніх справ України, про те, що </w:t>
            </w:r>
            <w:r>
              <w:rPr>
                <w:spacing w:val="-1"/>
              </w:rPr>
              <w:t>керівник</w:t>
            </w:r>
            <w:r w:rsidRPr="00802D87">
              <w:rPr>
                <w:spacing w:val="-1"/>
              </w:rPr>
              <w:t xml:space="preserve"> учасника не </w:t>
            </w:r>
            <w:r>
              <w:rPr>
                <w:spacing w:val="-1"/>
              </w:rPr>
              <w:t>був</w:t>
            </w:r>
            <w:r w:rsidRPr="00802D87">
              <w:rPr>
                <w:spacing w:val="-1"/>
              </w:rPr>
              <w:t xml:space="preserve"> засуджен</w:t>
            </w:r>
            <w:r>
              <w:rPr>
                <w:spacing w:val="-1"/>
              </w:rPr>
              <w:t>ий</w:t>
            </w:r>
            <w:r w:rsidRPr="00802D87">
              <w:rPr>
                <w:spacing w:val="-1"/>
              </w:rPr>
              <w:t xml:space="preserve"> за злочин, вчинений з корисних мотивів, судимість з яко</w:t>
            </w:r>
            <w:r>
              <w:rPr>
                <w:spacing w:val="-1"/>
              </w:rPr>
              <w:t>го не</w:t>
            </w:r>
            <w:r w:rsidRPr="00802D87">
              <w:rPr>
                <w:spacing w:val="-1"/>
              </w:rPr>
              <w:t xml:space="preserve"> знято або</w:t>
            </w:r>
            <w:r>
              <w:rPr>
                <w:spacing w:val="-1"/>
              </w:rPr>
              <w:t xml:space="preserve"> не</w:t>
            </w:r>
            <w:r w:rsidRPr="00802D87">
              <w:rPr>
                <w:spacing w:val="-1"/>
              </w:rPr>
              <w:t xml:space="preserve"> погашено в установленому законом порядку видано</w:t>
            </w:r>
            <w:r>
              <w:rPr>
                <w:spacing w:val="-1"/>
              </w:rPr>
              <w:t>го</w:t>
            </w:r>
            <w:r w:rsidRPr="00802D87">
              <w:rPr>
                <w:spacing w:val="-1"/>
              </w:rPr>
              <w:t xml:space="preserve"> не раніше дати кінцевого строку подання пропозицій через електронну систему </w:t>
            </w:r>
            <w:proofErr w:type="spellStart"/>
            <w:r w:rsidRPr="00802D87">
              <w:rPr>
                <w:spacing w:val="-1"/>
              </w:rPr>
              <w:t>закупівель</w:t>
            </w:r>
            <w:proofErr w:type="spellEnd"/>
            <w:r w:rsidRPr="00802D87">
              <w:rPr>
                <w:spacing w:val="-1"/>
              </w:rPr>
              <w:t>.</w:t>
            </w:r>
          </w:p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222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 xml:space="preserve">Витяг надається у строк, що не перевищує </w:t>
            </w:r>
            <w:r>
              <w:rPr>
                <w:spacing w:val="-1"/>
              </w:rPr>
              <w:t>чотирьох</w:t>
            </w:r>
            <w:r w:rsidRPr="00802D87">
              <w:rPr>
                <w:spacing w:val="-1"/>
              </w:rPr>
              <w:t xml:space="preserve"> днів з дати оприлюднення в електронній системі </w:t>
            </w:r>
            <w:proofErr w:type="spellStart"/>
            <w:r w:rsidRPr="00802D87">
              <w:rPr>
                <w:spacing w:val="-1"/>
              </w:rPr>
              <w:t>закупівель</w:t>
            </w:r>
            <w:proofErr w:type="spellEnd"/>
            <w:r w:rsidRPr="00802D87">
              <w:rPr>
                <w:spacing w:val="-1"/>
              </w:rPr>
              <w:t xml:space="preserve"> повідомлення про намір укласти договір.</w:t>
            </w:r>
          </w:p>
        </w:tc>
      </w:tr>
      <w:tr w:rsidR="00234498" w:rsidRPr="00802D87" w:rsidTr="005F618B">
        <w:trPr>
          <w:trHeight w:val="1693"/>
        </w:trPr>
        <w:tc>
          <w:tcPr>
            <w:tcW w:w="1628" w:type="pct"/>
          </w:tcPr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176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>1.5. Учасник процедури закупівлі визнаний у встановленому законом порядку банкрутом та стосовно нього відкрита ліквідаційна процедура.</w:t>
            </w:r>
          </w:p>
        </w:tc>
        <w:tc>
          <w:tcPr>
            <w:tcW w:w="3372" w:type="pct"/>
            <w:vAlign w:val="center"/>
          </w:tcPr>
          <w:p w:rsidR="00234498" w:rsidRPr="00802D87" w:rsidRDefault="00234498" w:rsidP="005F618B">
            <w:pPr>
              <w:ind w:firstLine="222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>Довідка у довільній формі про відсутність (чи наявність) підстав для відмови учаснику в участі у процедурі закупівлі, визначених пунктом 8 частини 1 статті 17 Закону.</w:t>
            </w:r>
          </w:p>
          <w:p w:rsidR="00234498" w:rsidRPr="00802D87" w:rsidRDefault="00234498" w:rsidP="005F618B">
            <w:pPr>
              <w:ind w:firstLine="222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 xml:space="preserve">Довідка надається в електронній формі у строк, що не перевищує </w:t>
            </w:r>
            <w:r>
              <w:rPr>
                <w:spacing w:val="-1"/>
              </w:rPr>
              <w:t>чотирьох</w:t>
            </w:r>
            <w:r w:rsidRPr="00802D87">
              <w:rPr>
                <w:spacing w:val="-1"/>
              </w:rPr>
              <w:t xml:space="preserve"> днів з дати оприлюднення в електронній системі </w:t>
            </w:r>
            <w:proofErr w:type="spellStart"/>
            <w:r w:rsidRPr="00802D87">
              <w:rPr>
                <w:spacing w:val="-1"/>
              </w:rPr>
              <w:t>закупівель</w:t>
            </w:r>
            <w:proofErr w:type="spellEnd"/>
            <w:r w:rsidRPr="00802D87">
              <w:rPr>
                <w:spacing w:val="-1"/>
              </w:rPr>
              <w:t xml:space="preserve"> повідомлення про намір укласти договір.</w:t>
            </w:r>
          </w:p>
        </w:tc>
      </w:tr>
      <w:tr w:rsidR="00234498" w:rsidRPr="00802D87" w:rsidTr="005F618B">
        <w:trPr>
          <w:trHeight w:val="3536"/>
        </w:trPr>
        <w:tc>
          <w:tcPr>
            <w:tcW w:w="1628" w:type="pct"/>
          </w:tcPr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176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>1.6.</w:t>
            </w:r>
            <w:r w:rsidRPr="00802D87">
              <w:t xml:space="preserve"> </w:t>
            </w:r>
            <w:r>
              <w:rPr>
                <w:color w:val="000000"/>
              </w:rPr>
              <w:t>К</w:t>
            </w:r>
            <w:r w:rsidRPr="000A2704">
              <w:rPr>
                <w:color w:val="000000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  <w:tc>
          <w:tcPr>
            <w:tcW w:w="3372" w:type="pct"/>
            <w:vAlign w:val="center"/>
          </w:tcPr>
          <w:p w:rsidR="00234498" w:rsidRPr="00802D87" w:rsidRDefault="00234498" w:rsidP="005F618B">
            <w:pPr>
              <w:ind w:firstLine="222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>Довідка у довільній формі про відсутність (чи наявність) підстав для відмови учаснику в участі у процедурі закупівлі, визначених пунктом 12 частини 1 статті 17 Закону України «Про публічні закупівлі».</w:t>
            </w:r>
          </w:p>
          <w:p w:rsidR="00234498" w:rsidRPr="00802D87" w:rsidRDefault="00234498" w:rsidP="005F618B">
            <w:pPr>
              <w:ind w:firstLine="222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 xml:space="preserve">Довідка надається в електронній формі у строк, що не перевищує </w:t>
            </w:r>
            <w:r>
              <w:rPr>
                <w:spacing w:val="-1"/>
              </w:rPr>
              <w:t>чотирьох</w:t>
            </w:r>
            <w:r w:rsidRPr="00802D87">
              <w:rPr>
                <w:spacing w:val="-1"/>
              </w:rPr>
              <w:t xml:space="preserve"> днів з дати оприлюднення в електронній системі </w:t>
            </w:r>
            <w:proofErr w:type="spellStart"/>
            <w:r w:rsidRPr="00802D87">
              <w:rPr>
                <w:spacing w:val="-1"/>
              </w:rPr>
              <w:t>закупівель</w:t>
            </w:r>
            <w:proofErr w:type="spellEnd"/>
            <w:r w:rsidRPr="00802D87">
              <w:rPr>
                <w:spacing w:val="-1"/>
              </w:rPr>
              <w:t xml:space="preserve"> повідомлення про намір укласти договір.</w:t>
            </w:r>
          </w:p>
        </w:tc>
      </w:tr>
      <w:tr w:rsidR="00234498" w:rsidRPr="00802D87" w:rsidTr="005F618B">
        <w:trPr>
          <w:trHeight w:val="283"/>
        </w:trPr>
        <w:tc>
          <w:tcPr>
            <w:tcW w:w="1628" w:type="pct"/>
          </w:tcPr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176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>1.8. 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</w:tc>
        <w:tc>
          <w:tcPr>
            <w:tcW w:w="3372" w:type="pct"/>
            <w:vAlign w:val="center"/>
          </w:tcPr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222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>Довідка у довільній формі про відсутність (чи наявність) підстав для відмови учаснику в участі у процедурі закупівлі, визначених частиною 2 статті 17 Закону України «Про публічні закупівлі».</w:t>
            </w:r>
          </w:p>
          <w:p w:rsidR="00234498" w:rsidRPr="00802D87" w:rsidRDefault="00234498" w:rsidP="005F618B">
            <w:pPr>
              <w:tabs>
                <w:tab w:val="center" w:pos="4677"/>
                <w:tab w:val="right" w:pos="9355"/>
              </w:tabs>
              <w:suppressAutoHyphens/>
              <w:ind w:firstLine="222"/>
              <w:jc w:val="both"/>
              <w:rPr>
                <w:spacing w:val="-1"/>
              </w:rPr>
            </w:pPr>
            <w:r w:rsidRPr="00802D87">
              <w:rPr>
                <w:spacing w:val="-1"/>
              </w:rPr>
              <w:t xml:space="preserve">Довідка надається в електронній формі у строк, що не перевищує </w:t>
            </w:r>
            <w:r>
              <w:rPr>
                <w:spacing w:val="-1"/>
              </w:rPr>
              <w:t>чотирьох</w:t>
            </w:r>
            <w:r w:rsidRPr="00802D87">
              <w:rPr>
                <w:spacing w:val="-1"/>
              </w:rPr>
              <w:t xml:space="preserve"> днів з дати оприлюднення в електронній системі </w:t>
            </w:r>
            <w:proofErr w:type="spellStart"/>
            <w:r w:rsidRPr="00802D87">
              <w:rPr>
                <w:spacing w:val="-1"/>
              </w:rPr>
              <w:t>закупівель</w:t>
            </w:r>
            <w:proofErr w:type="spellEnd"/>
            <w:r w:rsidRPr="00802D87">
              <w:rPr>
                <w:spacing w:val="-1"/>
              </w:rPr>
              <w:t xml:space="preserve"> повідомлення про намір укласти договір.</w:t>
            </w:r>
          </w:p>
        </w:tc>
      </w:tr>
    </w:tbl>
    <w:p w:rsidR="00234498" w:rsidRPr="00802D87" w:rsidRDefault="00234498" w:rsidP="00234498">
      <w:pPr>
        <w:ind w:firstLine="567"/>
        <w:jc w:val="right"/>
        <w:rPr>
          <w:b/>
          <w:sz w:val="20"/>
          <w:szCs w:val="20"/>
        </w:rPr>
      </w:pPr>
    </w:p>
    <w:p w:rsidR="00C828E0" w:rsidRDefault="00C828E0">
      <w:bookmarkStart w:id="0" w:name="_GoBack"/>
      <w:bookmarkEnd w:id="0"/>
    </w:p>
    <w:sectPr w:rsidR="00C82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98"/>
    <w:rsid w:val="00234498"/>
    <w:rsid w:val="00C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755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7218</Words>
  <Characters>4115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Черняєв Святослав Юрійович</dc:creator>
  <cp:lastModifiedBy>Черняєв Святослав Юрійович</cp:lastModifiedBy>
  <cp:revision>1</cp:revision>
  <dcterms:created xsi:type="dcterms:W3CDTF">2023-03-21T10:46:00Z</dcterms:created>
  <dcterms:modified xsi:type="dcterms:W3CDTF">2023-03-21T10:46:00Z</dcterms:modified>
</cp:coreProperties>
</file>