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некомерційне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підприємство</w:t>
      </w:r>
      <w:proofErr w:type="spellEnd"/>
    </w:p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Шосткинська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дитяча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лікарня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Шосткинської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ради</w:t>
      </w:r>
    </w:p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(КНП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Шосткинська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ДЛ» ШМР)</w:t>
      </w: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D0038" w:rsidRDefault="00C6384D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«ЗАТВЕРДЖЕНО»</w:t>
      </w:r>
    </w:p>
    <w:p w:rsidR="009D0038" w:rsidRDefault="00C6384D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Протокол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</w:t>
      </w:r>
    </w:p>
    <w:p w:rsidR="009D0038" w:rsidRDefault="00C6384D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КНП «</w:t>
      </w:r>
      <w:proofErr w:type="spellStart"/>
      <w:r>
        <w:rPr>
          <w:rFonts w:ascii="Times New Roman" w:eastAsia="Times New Roman" w:hAnsi="Times New Roman" w:cs="Times New Roman"/>
          <w:sz w:val="28"/>
        </w:rPr>
        <w:t>Шосткинська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ДЛ» ШМР</w:t>
      </w:r>
    </w:p>
    <w:p w:rsidR="009D0038" w:rsidRDefault="00C6384D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вересня</w:t>
      </w:r>
      <w:r>
        <w:rPr>
          <w:rFonts w:ascii="Times New Roman" w:eastAsia="Times New Roman" w:hAnsi="Times New Roman" w:cs="Times New Roman"/>
          <w:strike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2023 року</w:t>
      </w:r>
    </w:p>
    <w:p w:rsidR="009D0038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                                                     </w:t>
      </w: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C63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                                                    </w:t>
      </w:r>
    </w:p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ТЕНДЕРНА ДОКУМЕНТАЦІЯ</w:t>
      </w:r>
    </w:p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процедурі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ВІДКРИТІ ТОРГИ (з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робіт</w:t>
      </w:r>
      <w:proofErr w:type="spellEnd"/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Капітальний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ремонт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пошкоджених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внаслідок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збройної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агресії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будівель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некомерційного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Шосткинська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дитяча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лікарня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Шосткинської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ради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м.Шостка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 вул.Марата,23</w:t>
      </w:r>
    </w:p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(ДК 021:2015  45453000-7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Капітальний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ремонт і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реставрація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)</w:t>
      </w: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00FF00"/>
        </w:rPr>
      </w:pPr>
    </w:p>
    <w:p w:rsidR="009D0038" w:rsidRDefault="00C638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м. Шостка</w:t>
      </w:r>
      <w:r>
        <w:rPr>
          <w:rFonts w:ascii="Times New Roman" w:eastAsia="Times New Roman" w:hAnsi="Times New Roman" w:cs="Times New Roman"/>
          <w:i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sz w:val="24"/>
        </w:rPr>
        <w:t>рік</w:t>
      </w:r>
      <w:proofErr w:type="spellEnd"/>
    </w:p>
    <w:p w:rsidR="009D0038" w:rsidRDefault="009D00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582"/>
        <w:gridCol w:w="6350"/>
      </w:tblGrid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положення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Закон)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12.10.2022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1178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наведеному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торгів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некомерційне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Шосткинська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дитяча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Шосткинської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ради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місцезнаходження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Марата,23, м. Шостка,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41100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посада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учасниками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ПІБ: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Мурашко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Миколаївна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бухгалтер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shostka_dlik@ukr.net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0971101126</w:t>
            </w:r>
          </w:p>
          <w:p w:rsidR="009D0038" w:rsidRDefault="009D0038">
            <w:pPr>
              <w:spacing w:after="0" w:line="240" w:lineRule="auto"/>
              <w:ind w:firstLine="319"/>
              <w:jc w:val="both"/>
            </w:pP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закупівлі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особливостями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закупівлі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Капітальний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пошкоджених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збройної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некомерційного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Шосткинська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дитяча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Шосткинської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ради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м.Шостка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вул.Марата,23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ДК 021:2015  45453000-7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капітальний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ремонт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реставрація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right="120" w:firstLine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Марата, 23, м. Шостка,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41100</w:t>
            </w:r>
          </w:p>
          <w:p w:rsidR="009D0038" w:rsidRDefault="00C6384D">
            <w:pPr>
              <w:spacing w:after="0" w:line="240" w:lineRule="auto"/>
              <w:ind w:right="120"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до 31.12.2023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сторонами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зобов’язань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участь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процедурах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Валюта,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є нерезидент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бути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готуються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автентичний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термінологія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викладаю</w:t>
            </w:r>
            <w:r>
              <w:rPr>
                <w:rFonts w:ascii="Times New Roman" w:eastAsia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загальноприйнятого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тих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торговельної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марки (знаки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загальноприйняті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перекладом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розглядати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перекладу.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 один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встановленій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>нший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(і) документ(и),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перекладу.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тендеру.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звернулася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зупиняє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перебігу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одночасним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родовженням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уточнень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боку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усвідомлюють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 Закону,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відображают</w:t>
            </w:r>
            <w:r>
              <w:rPr>
                <w:rFonts w:ascii="Times New Roman" w:eastAsia="Times New Roman" w:hAnsi="Times New Roman" w:cs="Times New Roman"/>
                <w:sz w:val="24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</w:t>
            </w:r>
            <w:r>
              <w:rPr>
                <w:rFonts w:ascii="Times New Roman" w:eastAsia="Times New Roman" w:hAnsi="Times New Roman" w:cs="Times New Roman"/>
                <w:sz w:val="24"/>
              </w:rPr>
              <w:t>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numPr>
                <w:ilvl w:val="0"/>
                <w:numId w:val="1"/>
              </w:num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26 Закону,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шостої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сьомої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26 Закону.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окремими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полями,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пункті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 xml:space="preserve"> 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та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складену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містит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: 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телефон, факс); 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);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підписувати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договору;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банківського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здійснюватися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оплата за договором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пунктом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п.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Технічному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завданні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Лист-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згода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ідписаний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договору.</w:t>
            </w:r>
          </w:p>
          <w:p w:rsidR="009D0038" w:rsidRDefault="00C6384D">
            <w:pPr>
              <w:tabs>
                <w:tab w:val="left" w:pos="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договору*.</w:t>
            </w:r>
          </w:p>
          <w:p w:rsidR="009D0038" w:rsidRDefault="00C6384D">
            <w:pPr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товариств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відповідальністю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(ТОВ)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відповідальністю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(ТДВ):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правочин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підпадає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ознаки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ст. 44 ЗУ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відповідальністю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».</w:t>
            </w:r>
          </w:p>
          <w:p w:rsidR="009D0038" w:rsidRDefault="00C6384D">
            <w:pPr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уповноважені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входять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кола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представляють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довіреності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оформлена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повіреного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разом з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пункту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вказану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646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*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чинними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момент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підтверджувати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договору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йог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договором,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вигля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6" w:right="29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ПДВ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не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те,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right="-23"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6" w:right="-2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Статуту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установчого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документу.</w:t>
            </w:r>
          </w:p>
          <w:p w:rsidR="009D0038" w:rsidRDefault="00C6384D">
            <w:pPr>
              <w:spacing w:after="0" w:line="240" w:lineRule="auto"/>
              <w:ind w:left="16" w:right="-2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йог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податково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іншу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уповноваженим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органом*</w:t>
            </w:r>
          </w:p>
          <w:p w:rsidR="009D0038" w:rsidRDefault="00C6384D">
            <w:pPr>
              <w:spacing w:after="0" w:line="240" w:lineRule="auto"/>
              <w:ind w:right="-23"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окупованою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територією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в межах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збройні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окупаційна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встановили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здійсн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юють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фактичний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збройні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встановили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здійснюють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контроль з метою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окупаційної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6" w:right="-2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підприємець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особа: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паспорту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наявного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паспорту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книжки;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ID-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обидві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ідентифікаційного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коду.</w:t>
            </w:r>
          </w:p>
          <w:p w:rsidR="009D0038" w:rsidRDefault="00C6384D">
            <w:pPr>
              <w:spacing w:after="0" w:line="240" w:lineRule="auto"/>
              <w:ind w:left="16" w:right="-2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передбаченої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п. 9 ч. 2 ст.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»,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(контролера)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причин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(контролера)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6" w:right="-2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додержанням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правил,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нормативів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регулюють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шкідливих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впливів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викори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стовує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сертифіковані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;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компенсує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шкоду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заподіяну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забрудненням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негативним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впливом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навколишнє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середовище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6" w:right="-23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лист,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дотримано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кументів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6061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44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відповідальністю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є предметом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останньої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затвердженої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загальними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зборами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статутом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6061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ном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попереднього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кварталу.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ПСБО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(стандарт)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бухгалтерського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19,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</w:p>
          <w:p w:rsidR="009D0038" w:rsidRDefault="00C6384D">
            <w:pPr>
              <w:tabs>
                <w:tab w:val="left" w:pos="6061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товариство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овідальністю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(баланс)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уповноваженій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посадовій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службовій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надає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дозвіл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договори на будь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товариства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лист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пункт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статуті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установчому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правочинів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646"/>
              </w:tabs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об'єднанням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обов'язково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об'єднання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tabs>
                <w:tab w:val="left" w:pos="646"/>
              </w:tabs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наведені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файлом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іменується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документа.</w:t>
            </w:r>
          </w:p>
          <w:p w:rsidR="009D0038" w:rsidRDefault="009D0038">
            <w:pPr>
              <w:tabs>
                <w:tab w:val="left" w:pos="64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D0038" w:rsidRDefault="00C6384D">
            <w:pPr>
              <w:tabs>
                <w:tab w:val="left" w:pos="64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завантажуються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машинозчитування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розширенням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.», «..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jpeg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виготовляються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tabs>
                <w:tab w:val="left" w:pos="64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чином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завірені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9D0038" w:rsidRDefault="00C6384D">
            <w:pPr>
              <w:tabs>
                <w:tab w:val="left" w:pos="64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>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повноваженими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органами.</w:t>
            </w:r>
          </w:p>
          <w:p w:rsidR="009D0038" w:rsidRDefault="00C6384D">
            <w:pPr>
              <w:tabs>
                <w:tab w:val="left" w:pos="6061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-нерезидентом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-нерезидентом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-нерезидента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документообіг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та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КЕП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удосконалений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УЕП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Файл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накладеного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КЕП/УЕП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засвідчувального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https://czo.gov.ua/verify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підроблених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кримінальну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Кримінального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несуттєві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помилки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наказом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Мінекономіки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15.04.2020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710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пункту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22 Закону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наступній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несуттєвими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впливають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описки. 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документ,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розділових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відмінюван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звороту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запозичених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присвоєного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цифрах;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 переносу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 з рядка в рядок;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разом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дефіс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однаковий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пропущені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нумерація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тексту документа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комп'ютерна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коректура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(цифр)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пропуск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пропуску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заокруглення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впливає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</w:t>
            </w:r>
            <w:r>
              <w:rPr>
                <w:rFonts w:ascii="Times New Roman" w:eastAsia="Times New Roman" w:hAnsi="Times New Roman" w:cs="Times New Roman"/>
                <w:sz w:val="24"/>
              </w:rPr>
              <w:t>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 документа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номера.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сканованою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переклад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застарілу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(цифр)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некоректною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є правильною.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формат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перегляду.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 «Лист-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«Лист»,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розмістив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завантажив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документ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«JPG»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)». </w:t>
            </w:r>
          </w:p>
          <w:p w:rsidR="009D0038" w:rsidRDefault="009D0038">
            <w:pPr>
              <w:tabs>
                <w:tab w:val="left" w:pos="402"/>
              </w:tabs>
              <w:spacing w:after="0" w:line="240" w:lineRule="auto"/>
              <w:ind w:left="16" w:firstLine="284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D0038" w:rsidRDefault="00C6384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приймається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вимагається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передбачається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дійсними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120 (сто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право:</w:t>
            </w:r>
          </w:p>
          <w:p w:rsidR="009D0038" w:rsidRDefault="00C6384D">
            <w:pPr>
              <w:numPr>
                <w:ilvl w:val="0"/>
                <w:numId w:val="2"/>
              </w:num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2"/>
              </w:num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вимагало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16 Закону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Особливостей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ними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завданні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right="136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приймання-передачі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інвентаризаційні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бухгалтерські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лізингу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– скан-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лізингу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кожну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вказану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печатку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контрагента за договором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транспортного(их)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2023 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сторонами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заперечення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машин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9D003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0"/>
                <w:shd w:val="clear" w:color="auto" w:fill="FFFF00"/>
              </w:rPr>
            </w:pP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  <w:p w:rsidR="009D0038" w:rsidRDefault="00C6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1  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1098"/>
              <w:gridCol w:w="918"/>
              <w:gridCol w:w="1318"/>
              <w:gridCol w:w="2247"/>
            </w:tblGrid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ПІБ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before="100" w:after="10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посада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before="100" w:after="10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стаж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before="100" w:after="10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/***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before="100" w:after="10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співвиконавця</w:t>
                  </w:r>
                  <w:proofErr w:type="spellEnd"/>
                </w:p>
              </w:tc>
            </w:tr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before="100" w:after="10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before="100" w:after="10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before="100" w:after="10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before="100" w:after="10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before="100" w:after="10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D0038" w:rsidRDefault="00C6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***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  <w:p w:rsidR="009D0038" w:rsidRDefault="009D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D0038" w:rsidRDefault="00C638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професій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штатних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інженерно-технічних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необхідній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>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D0038" w:rsidRDefault="00C638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numPr>
                <w:ilvl w:val="0"/>
                <w:numId w:val="3"/>
              </w:numPr>
              <w:spacing w:after="0" w:line="240" w:lineRule="auto"/>
              <w:ind w:left="36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(перша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цивільно-правових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роботу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постанови КМУ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 червня 2015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413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квитанцією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органом ДФС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9D0038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алогічним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(СС2)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фірмовому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бланку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завіреною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наведеною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формою:</w:t>
            </w:r>
          </w:p>
          <w:p w:rsidR="009D0038" w:rsidRDefault="00C638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)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)»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"/>
              <w:gridCol w:w="1249"/>
              <w:gridCol w:w="1350"/>
              <w:gridCol w:w="1275"/>
              <w:gridCol w:w="1725"/>
            </w:tblGrid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з/п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Замовник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адреса, телефон, ПІБ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керівника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Номер та дата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укладання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договору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Предмет договору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Сума договору</w:t>
                  </w:r>
                </w:p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та сума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виконання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договору</w:t>
                  </w:r>
                </w:p>
              </w:tc>
            </w:tr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</w:tbl>
          <w:p w:rsidR="009D0038" w:rsidRDefault="00C6384D">
            <w:pPr>
              <w:tabs>
                <w:tab w:val="left" w:pos="466"/>
              </w:tabs>
              <w:spacing w:after="0" w:line="240" w:lineRule="auto"/>
              <w:ind w:right="136"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скановану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(і)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(ї)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(их) договору(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невід'ємною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відображена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скановану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(і)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(ї),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(их) контрагентом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(форма КБ-3)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договору;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скановану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(і)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(ї),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(их) контрагентом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Акту(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(форма КБ-2в)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договору; </w:t>
            </w:r>
          </w:p>
          <w:p w:rsidR="009D0038" w:rsidRDefault="00C6384D">
            <w:pPr>
              <w:spacing w:after="0" w:line="240" w:lineRule="auto"/>
              <w:ind w:right="11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скановану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(і)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(ї) позитивного(их)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відгуку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та Контрагента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(-и)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(-и) договором(-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(-их)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видачi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вихiдний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номер, дату та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договору, 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якiсть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робiт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термінів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боку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позовів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невикон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неналежного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умов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(Контрагентом) в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Примітка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договорам. 2)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 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сума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аналогічному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зменшена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угоду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угоди)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зменшено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суму договору.</w:t>
            </w:r>
          </w:p>
          <w:p w:rsidR="009D0038" w:rsidRDefault="009D00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sz w:val="20"/>
                <w:shd w:val="clear" w:color="auto" w:fill="FFFF00"/>
              </w:rPr>
            </w:pP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фінансовою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звітністю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284"/>
              <w:jc w:val="both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Для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2021 - 2022 роки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 у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30%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9D003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9D0038" w:rsidRDefault="009D0038">
            <w:pPr>
              <w:spacing w:after="0" w:line="240" w:lineRule="auto"/>
              <w:ind w:firstLine="284"/>
              <w:jc w:val="both"/>
              <w:rPr>
                <w:rFonts w:ascii="Arial" w:eastAsia="Arial" w:hAnsi="Arial" w:cs="Arial"/>
                <w:sz w:val="10"/>
                <w:shd w:val="clear" w:color="auto" w:fill="FFFFFF"/>
              </w:rPr>
            </w:pPr>
          </w:p>
          <w:p w:rsidR="009D0038" w:rsidRDefault="00C6384D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п. 6.1.1, 6.1.2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п. 6.1.1, 6.1.2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9D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hd w:val="clear" w:color="auto" w:fill="FFFF00"/>
              </w:rPr>
            </w:pPr>
          </w:p>
          <w:p w:rsidR="009D0038" w:rsidRDefault="00C6384D">
            <w:pPr>
              <w:spacing w:after="0" w:line="240" w:lineRule="auto"/>
              <w:ind w:left="31" w:firstLine="2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узагальнених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31" w:firstLine="2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Особливостей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7.1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декларування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 і 7, абзацу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пункту),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внесено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останніх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притягувався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передбачене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пунктом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6, пунктом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50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»,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узгоджених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законом поря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дку;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ом порядку;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законом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банкрутом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ліквідаційна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процедура;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пунктом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нерезидент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лотом);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є особою,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заборони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формам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людьми.</w:t>
            </w:r>
          </w:p>
          <w:p w:rsidR="009D0038" w:rsidRDefault="009D003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7.2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підпунктами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3, 5, 6 і 12 пункту 47 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14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 (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https://vytiah.mvs.gov.ua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5, 6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);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договором,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(абзац 14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підпункти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2, 3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інтеграції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корупціонерів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адміністр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реалізована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агентства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13/23/395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18.01.2023 року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код РНОКПП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зформувалась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інтергації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підпунктами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2, 3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НАЗК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своїм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запитом.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7.3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встанов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керівнику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7.4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«Про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єдиних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є доступною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момент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7.5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п.7.2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7.6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дхиляє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3 пункту 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минув)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порядку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33 Закону та пункт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ом 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firstLine="3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7.7 Першим днем строку,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Законом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вважатиметься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днем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того,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днях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строк.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закупівлі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right="29" w:firstLine="3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Капітальний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пошкоджених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збройної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некомерційного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шосткинська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Шосткинської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Шостка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рата, 23,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2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регламенти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термінологію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спільними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еталонними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європейськими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ндартизації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кожного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вважати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еквівалент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еквівалент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Еквівалентним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рівноцінне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внозначне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рівносильне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чому-небудь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виражати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еквівалентний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ідентичним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рівнозначними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уникнення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хибних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ПІБ та посаду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чинног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посвідчує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зручний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них час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розпорядку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понеділка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п’ятницю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8.00 до 17.00), 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субпідрядників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left="16" w:right="29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вказаним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Зразком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22" w:right="136" w:firstLine="5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Зразок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субпідрядників</w:t>
            </w:r>
            <w:proofErr w:type="spellEnd"/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35"/>
              <w:gridCol w:w="1830"/>
              <w:gridCol w:w="2259"/>
            </w:tblGrid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ind w:left="2" w:right="136" w:firstLine="142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Повне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код ЄДРПОУ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ІПН,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місце-знаходження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та номер телефону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ind w:left="2" w:right="136" w:firstLine="142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Види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робіт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передбачається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доручити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субпідряднику</w:t>
                  </w:r>
                  <w:proofErr w:type="spellEnd"/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ind w:left="2" w:right="136" w:firstLine="142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Орієнтовна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вартість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робіт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сумою (грн.) та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відсотках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(%) до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вартості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договору</w:t>
                  </w:r>
                </w:p>
              </w:tc>
            </w:tr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ind w:left="122" w:right="136" w:firstLine="28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after="0" w:line="240" w:lineRule="auto"/>
                    <w:ind w:left="122" w:right="136" w:firstLine="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after="0" w:line="240" w:lineRule="auto"/>
                    <w:ind w:left="122" w:right="136" w:firstLine="284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ind w:left="122" w:right="136" w:firstLine="28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after="0" w:line="240" w:lineRule="auto"/>
                    <w:ind w:left="122" w:right="136" w:firstLine="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after="0" w:line="240" w:lineRule="auto"/>
                    <w:ind w:left="122" w:right="136" w:firstLine="284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D003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C6384D">
                  <w:pPr>
                    <w:spacing w:after="0" w:line="240" w:lineRule="auto"/>
                    <w:ind w:left="122" w:right="136" w:firstLine="28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…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after="0" w:line="240" w:lineRule="auto"/>
                    <w:ind w:left="122" w:right="136" w:firstLine="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D0038" w:rsidRDefault="009D0038">
                  <w:pPr>
                    <w:spacing w:after="0" w:line="240" w:lineRule="auto"/>
                    <w:ind w:left="122" w:right="136" w:firstLine="284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D0038" w:rsidRDefault="00C6384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листи-згоди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right="120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учасником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left="34" w:firstLine="2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22.09.2023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конкретний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часу.</w:t>
            </w:r>
          </w:p>
          <w:p w:rsidR="009D0038" w:rsidRDefault="00C6384D">
            <w:pPr>
              <w:spacing w:after="0" w:line="240" w:lineRule="auto"/>
              <w:ind w:firstLine="28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і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дата і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 в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розкриттю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обґрунтовано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персональні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запропоновану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технічн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16 Закону,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пунктом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критерію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numPr>
                <w:ilvl w:val="0"/>
                <w:numId w:val="4"/>
              </w:numPr>
              <w:spacing w:after="0" w:line="240" w:lineRule="auto"/>
              <w:ind w:left="36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ПДВ).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100%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ПДВ,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ПДВ.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такою,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абзацу четвертого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підпункту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пункту 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/приведена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найнижчою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повинно бути подано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Закону.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мінімального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1 %.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не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28 Закону.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розкри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ттю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персональні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запропоновану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 Закону,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включити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АНЦ)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/приведена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середньо-арифметичного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приведеної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наступної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приведеної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(лота).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передбачалось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товару, марки,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одного і того 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 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виправляє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годин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ознайомлений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нормами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порушує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ійськовою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03.03.2022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187,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кредиторами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країною-агресором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пункту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Постанови;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09.04.2022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заборонено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режим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15.04.2014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1207-VII.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пропозицій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виправив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марку,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виправле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24 годин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чотирнадцятої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29 Закону/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дев’ятим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пункту 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пункту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омадянин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Російсь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придбаних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2022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1178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пункту 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є такою,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закінчився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є такою,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</w:t>
            </w:r>
            <w:r>
              <w:rPr>
                <w:rFonts w:ascii="Times New Roman" w:eastAsia="Times New Roman" w:hAnsi="Times New Roman" w:cs="Times New Roman"/>
                <w:sz w:val="24"/>
              </w:rPr>
              <w:t>льшим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абзацу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22 Закону;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відмовився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підпунктах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3, 5, 6, і 12 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ирнадцятому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коли: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неналежне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вигля</w:t>
            </w:r>
            <w:r>
              <w:rPr>
                <w:rFonts w:ascii="Times New Roman" w:eastAsia="Times New Roman" w:hAnsi="Times New Roman" w:cs="Times New Roman"/>
                <w:sz w:val="24"/>
              </w:rPr>
              <w:t>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штрафу,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одного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ухвалення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3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3.4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недостатньою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аргументацію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причини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такою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пізніш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як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але до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10 Закону.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закупівлю</w:t>
            </w:r>
            <w:proofErr w:type="spellEnd"/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відбулися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відміняє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торги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:rsidR="009D0038" w:rsidRDefault="00C6384D">
            <w:pPr>
              <w:numPr>
                <w:ilvl w:val="0"/>
                <w:numId w:val="5"/>
              </w:num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5"/>
              </w:num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виникли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5"/>
              </w:num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5"/>
              </w:num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неможливим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непереборної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автоматично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відміняються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numPr>
                <w:ilvl w:val="0"/>
                <w:numId w:val="6"/>
              </w:num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6"/>
              </w:numPr>
              <w:spacing w:after="0" w:line="240" w:lineRule="auto"/>
              <w:ind w:left="126" w:right="127" w:firstLine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торгах у строк, установлений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згідн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закупівлю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left="31" w:firstLine="2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D0038" w:rsidRDefault="00C6384D">
            <w:pPr>
              <w:spacing w:after="0" w:line="240" w:lineRule="auto"/>
              <w:ind w:left="31" w:firstLine="2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п’ятнадцять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обґрунтованої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до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.</w:t>
            </w:r>
          </w:p>
          <w:p w:rsidR="009D0038" w:rsidRDefault="00C6384D">
            <w:pPr>
              <w:spacing w:after="0" w:line="240" w:lineRule="auto"/>
              <w:ind w:left="31" w:firstLine="2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забороняється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закупівлю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у строки,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пунктом 2 «Строк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закупівлю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ind w:right="72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41 Закону,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п’ятої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сьомої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дев’ятої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41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tabs>
                <w:tab w:val="left" w:pos="6090"/>
              </w:tabs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tabs>
                <w:tab w:val="left" w:pos="6090"/>
              </w:tabs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tabs>
                <w:tab w:val="left" w:pos="6090"/>
              </w:tabs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Кошторисних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громад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281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01.11.2021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кошторисних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будівництві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</w:t>
            </w:r>
          </w:p>
          <w:p w:rsidR="009D0038" w:rsidRDefault="00C6384D">
            <w:pPr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АВК-5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враховані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стандартах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ціноутворення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рекомендованому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Міністерством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регі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4.2.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розрахунки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остаточної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розраху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статтями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договірної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  <w:p w:rsidR="009D0038" w:rsidRDefault="00C6384D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9D0038" w:rsidRDefault="00C6384D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пояснювальну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записку;</w:t>
            </w:r>
          </w:p>
          <w:p w:rsidR="009D0038" w:rsidRDefault="00C6384D">
            <w:pPr>
              <w:numPr>
                <w:ilvl w:val="0"/>
                <w:numId w:val="7"/>
              </w:num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кошторис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7"/>
              </w:num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9D0038" w:rsidRDefault="00C6384D">
            <w:pPr>
              <w:numPr>
                <w:ilvl w:val="0"/>
                <w:numId w:val="7"/>
              </w:num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машин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</w:p>
          <w:p w:rsidR="009D0038" w:rsidRDefault="00C6384D">
            <w:pPr>
              <w:numPr>
                <w:ilvl w:val="0"/>
                <w:numId w:val="7"/>
              </w:num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зрахунок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загальновиробничих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7"/>
              </w:num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7"/>
              </w:num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7"/>
              </w:num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9D0038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numPr>
                <w:ilvl w:val="0"/>
                <w:numId w:val="8"/>
              </w:numPr>
              <w:spacing w:after="0" w:line="240" w:lineRule="auto"/>
              <w:ind w:left="31" w:right="113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грошового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еквівалента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numPr>
                <w:ilvl w:val="0"/>
                <w:numId w:val="8"/>
              </w:num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є: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предмет договору; 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сума договору;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договору.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сторонами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виникнення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спричинили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непереборної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призведуть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ставок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таких ставок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умов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шостої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41 Закону.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0038" w:rsidRDefault="00C6384D">
            <w:pPr>
              <w:spacing w:after="0" w:line="240" w:lineRule="auto"/>
              <w:ind w:right="113" w:firstLine="3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D00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038" w:rsidRDefault="00C6384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закупівлю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038" w:rsidRDefault="00C638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вимагається</w:t>
            </w:r>
            <w:proofErr w:type="spellEnd"/>
          </w:p>
        </w:tc>
      </w:tr>
    </w:tbl>
    <w:p w:rsidR="009D0038" w:rsidRDefault="009D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</w:t>
      </w:r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арк</w:t>
      </w:r>
      <w:proofErr w:type="spellEnd"/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18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арк</w:t>
      </w:r>
      <w:proofErr w:type="spellEnd"/>
    </w:p>
    <w:p w:rsidR="009D0038" w:rsidRDefault="00C6384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3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договору» на </w:t>
      </w: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9D0038" w:rsidRDefault="009D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0038" w:rsidRDefault="00C6384D" w:rsidP="00C63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6384D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C6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ДОДАТОК 1 ДО ТЕНДЕРНОЇ ДОКУМЕНТАЦІЇ</w:t>
      </w:r>
    </w:p>
    <w:p w:rsidR="009D0038" w:rsidRDefault="009D0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9D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038" w:rsidRDefault="00C6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«ТЕНДЕРНА ПРОПОЗИЦІЯ»</w:t>
      </w:r>
    </w:p>
    <w:p w:rsidR="009D0038" w:rsidRDefault="009D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0038" w:rsidRDefault="00C6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Уважно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вивчивши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подаємо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участь у торгах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предмету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Капітальний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ремонт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пошкоджених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збройної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некомерційного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Шосткинська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дитяча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лікарня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Шосткинсько</w:t>
      </w:r>
      <w:r>
        <w:rPr>
          <w:rFonts w:ascii="Times New Roman" w:eastAsia="Times New Roman" w:hAnsi="Times New Roman" w:cs="Times New Roman"/>
          <w:sz w:val="24"/>
          <w:u w:val="single"/>
        </w:rPr>
        <w:t>ї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ради за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м.Шостка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, вул.Марата,23»</w:t>
      </w:r>
      <w:r>
        <w:rPr>
          <w:rFonts w:ascii="Times New Roman" w:eastAsia="Times New Roman" w:hAnsi="Times New Roman" w:cs="Times New Roman"/>
          <w:sz w:val="24"/>
        </w:rPr>
        <w:t>_______________________</w:t>
      </w:r>
    </w:p>
    <w:p w:rsidR="009D0038" w:rsidRDefault="00C6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)</w:t>
      </w:r>
    </w:p>
    <w:p w:rsidR="009D0038" w:rsidRDefault="009D0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D0038" w:rsidRDefault="00C6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9D0038" w:rsidRDefault="00C6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характеристиками предмета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D0038" w:rsidRDefault="00C6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:rsidR="009D0038" w:rsidRDefault="00C6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:rsidR="009D0038" w:rsidRDefault="00C6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Адреса (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фактична</w:t>
      </w:r>
      <w:proofErr w:type="spellEnd"/>
      <w:r>
        <w:rPr>
          <w:rFonts w:ascii="Times New Roman" w:eastAsia="Times New Roman" w:hAnsi="Times New Roman" w:cs="Times New Roman"/>
          <w:sz w:val="24"/>
        </w:rPr>
        <w:t>) _________________________</w:t>
      </w:r>
    </w:p>
    <w:p w:rsidR="009D0038" w:rsidRDefault="00C6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Телефон (факс) ______________________________________</w:t>
      </w:r>
    </w:p>
    <w:p w:rsidR="009D0038" w:rsidRDefault="00C6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</w:t>
      </w:r>
    </w:p>
    <w:p w:rsidR="009D0038" w:rsidRDefault="00C6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Тендерна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 ПДВ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 ПДВ) :</w:t>
      </w:r>
    </w:p>
    <w:p w:rsidR="009D0038" w:rsidRDefault="00C6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цифрами ______________________________________________ грн.,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словами  _______________________________________ грн.,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у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 __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грн.,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 ПДВ </w:t>
      </w:r>
      <w:r>
        <w:rPr>
          <w:rFonts w:ascii="Times New Roman" w:eastAsia="Times New Roman" w:hAnsi="Times New Roman" w:cs="Times New Roman"/>
          <w:i/>
          <w:sz w:val="24"/>
        </w:rPr>
        <w:t xml:space="preserve">(у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уч</w:t>
      </w:r>
      <w:r>
        <w:rPr>
          <w:rFonts w:ascii="Times New Roman" w:eastAsia="Times New Roman" w:hAnsi="Times New Roman" w:cs="Times New Roman"/>
          <w:i/>
          <w:sz w:val="24"/>
        </w:rPr>
        <w:t>асник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платником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засадах)</w:t>
      </w:r>
    </w:p>
    <w:p w:rsidR="009D0038" w:rsidRDefault="009D00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нас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4"/>
        </w:rPr>
        <w:t>візьмемо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дотримувати</w:t>
      </w:r>
      <w:r>
        <w:rPr>
          <w:rFonts w:ascii="Times New Roman" w:eastAsia="Times New Roman" w:hAnsi="Times New Roman" w:cs="Times New Roman"/>
          <w:sz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</w:rPr>
        <w:t>цієї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кінцевого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 можете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нашу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розуміємо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бмежені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Вас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Ми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розуміємо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 можете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відмінити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процедуру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</w:t>
      </w:r>
      <w:r>
        <w:rPr>
          <w:rFonts w:ascii="Times New Roman" w:eastAsia="Times New Roman" w:hAnsi="Times New Roman" w:cs="Times New Roman"/>
          <w:sz w:val="24"/>
        </w:rPr>
        <w:t>упівлю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5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15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обґрунтованої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60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D0038" w:rsidRDefault="00C6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підтверджуємо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безумовну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беззаперечну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D0038" w:rsidRDefault="009D003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D0038" w:rsidRDefault="009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9D0038" w:rsidRDefault="00C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Примітка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 порядку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розді</w:t>
      </w:r>
      <w:r>
        <w:rPr>
          <w:rFonts w:ascii="Times New Roman" w:eastAsia="Times New Roman" w:hAnsi="Times New Roman" w:cs="Times New Roman"/>
          <w:sz w:val="24"/>
        </w:rPr>
        <w:t>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D0038" w:rsidRDefault="00C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</w:rPr>
        <w:t>фірмовому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бланку (у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>) «ТЕНДЕРНА ПРОПОЗИЦІЯ».</w:t>
      </w:r>
    </w:p>
    <w:p w:rsidR="00C6384D" w:rsidRDefault="00C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6384D" w:rsidRPr="00C6384D" w:rsidRDefault="00C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sectPr w:rsidR="00C6384D" w:rsidRPr="00C6384D" w:rsidSect="00C6384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4B9"/>
    <w:multiLevelType w:val="multilevel"/>
    <w:tmpl w:val="A2ECD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A0E31"/>
    <w:multiLevelType w:val="multilevel"/>
    <w:tmpl w:val="3DCE7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9063A"/>
    <w:multiLevelType w:val="multilevel"/>
    <w:tmpl w:val="1C7E9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C34DA"/>
    <w:multiLevelType w:val="multilevel"/>
    <w:tmpl w:val="79D07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6416B"/>
    <w:multiLevelType w:val="multilevel"/>
    <w:tmpl w:val="E6A63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E4A49"/>
    <w:multiLevelType w:val="multilevel"/>
    <w:tmpl w:val="1F5ED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34FC9"/>
    <w:multiLevelType w:val="multilevel"/>
    <w:tmpl w:val="10C0E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E9659B"/>
    <w:multiLevelType w:val="multilevel"/>
    <w:tmpl w:val="7D243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38"/>
    <w:rsid w:val="009D0038"/>
    <w:rsid w:val="00C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B9C8"/>
  <w15:docId w15:val="{1B3B8B1F-2530-4819-9C6C-CD013C89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o.gov.ua/verify" TargetMode="Externa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10202</Words>
  <Characters>58155</Characters>
  <Application>Microsoft Office Word</Application>
  <DocSecurity>0</DocSecurity>
  <Lines>484</Lines>
  <Paragraphs>136</Paragraphs>
  <ScaleCrop>false</ScaleCrop>
  <Company/>
  <LinksUpToDate>false</LinksUpToDate>
  <CharactersWithSpaces>68221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2023-09-15T17:01:00Z</dcterms:created>
  <dcterms:modified xsi:type="dcterms:W3CDTF">2023-09-15T17:06:00Z</dcterms:modified>
</cp:coreProperties>
</file>