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uk-UA"/>
        </w:rPr>
      </w:pPr>
      <w:r>
        <w:rPr>
          <w:b/>
          <w:lang w:val="uk-UA"/>
        </w:rPr>
        <w:t>Головне управління Пенсійного фонду України в Тернопільській області</w:t>
      </w:r>
    </w:p>
    <w:p>
      <w:pPr>
        <w:pStyle w:val="Normal"/>
        <w:rPr>
          <w:lang w:val="uk-UA"/>
        </w:rPr>
      </w:pPr>
      <w:r>
        <w:rPr>
          <w:lang w:val="uk-UA"/>
        </w:rPr>
      </w:r>
    </w:p>
    <w:p>
      <w:pPr>
        <w:pStyle w:val="Normal"/>
        <w:tabs>
          <w:tab w:val="clear" w:pos="709"/>
          <w:tab w:val="left" w:pos="4219" w:leader="none"/>
        </w:tabs>
        <w:ind w:left="4680" w:hanging="0"/>
        <w:rPr>
          <w:rFonts w:eastAsia="MS Mincho"/>
          <w:lang w:val="uk-UA"/>
        </w:rPr>
      </w:pPr>
      <w:r>
        <w:rPr>
          <w:rFonts w:eastAsia="MS Mincho"/>
          <w:lang w:val="uk-UA"/>
        </w:rPr>
      </w:r>
    </w:p>
    <w:p>
      <w:pPr>
        <w:pStyle w:val="Normal"/>
        <w:tabs>
          <w:tab w:val="clear" w:pos="709"/>
          <w:tab w:val="left" w:pos="4219" w:leader="none"/>
        </w:tabs>
        <w:ind w:left="4680" w:hanging="0"/>
        <w:rPr>
          <w:rFonts w:eastAsia="MS Mincho"/>
          <w:lang w:val="uk-UA"/>
        </w:rPr>
      </w:pPr>
      <w:r>
        <w:rPr>
          <w:rFonts w:eastAsia="MS Mincho"/>
          <w:lang w:val="uk-UA"/>
        </w:rPr>
      </w:r>
    </w:p>
    <w:p>
      <w:pPr>
        <w:pStyle w:val="Normal"/>
        <w:tabs>
          <w:tab w:val="clear" w:pos="709"/>
          <w:tab w:val="left" w:pos="4219" w:leader="none"/>
        </w:tabs>
        <w:ind w:left="4680" w:hanging="0"/>
        <w:rPr>
          <w:rFonts w:eastAsia="MS Mincho"/>
          <w:lang w:val="uk-UA"/>
        </w:rPr>
      </w:pPr>
      <w:r>
        <w:rPr>
          <w:rFonts w:eastAsia="MS Mincho"/>
          <w:lang w:val="uk-UA"/>
        </w:rPr>
      </w:r>
    </w:p>
    <w:p>
      <w:pPr>
        <w:pStyle w:val="Normal"/>
        <w:tabs>
          <w:tab w:val="clear" w:pos="709"/>
          <w:tab w:val="left" w:pos="4219" w:leader="none"/>
        </w:tabs>
        <w:ind w:left="5400" w:hanging="0"/>
        <w:rPr>
          <w:bCs/>
          <w:lang w:val="uk-UA"/>
        </w:rPr>
      </w:pPr>
      <w:r>
        <w:rPr>
          <w:b/>
          <w:lang w:val="uk-UA"/>
        </w:rPr>
        <w:t>ЗАТВЕРДЖЕНО</w:t>
      </w:r>
    </w:p>
    <w:p>
      <w:pPr>
        <w:pStyle w:val="Normal"/>
        <w:ind w:left="5400" w:hanging="0"/>
        <w:rPr>
          <w:bCs/>
          <w:lang w:val="uk-UA"/>
        </w:rPr>
      </w:pPr>
      <w:r>
        <w:rPr>
          <w:bCs/>
          <w:lang w:val="uk-UA"/>
        </w:rPr>
        <w:t>Рішенням уповноваженої особи</w:t>
      </w:r>
    </w:p>
    <w:p>
      <w:pPr>
        <w:pStyle w:val="Normal"/>
        <w:tabs>
          <w:tab w:val="clear" w:pos="709"/>
          <w:tab w:val="left" w:pos="4219" w:leader="none"/>
          <w:tab w:val="left" w:pos="8490" w:leader="none"/>
        </w:tabs>
        <w:ind w:left="5400" w:hanging="0"/>
        <w:rPr>
          <w:color w:val="FF0000"/>
          <w:lang w:val="uk-UA"/>
        </w:rPr>
      </w:pPr>
      <w:r>
        <w:rPr>
          <w:bCs/>
          <w:lang w:val="uk-UA"/>
        </w:rPr>
        <w:t>Від 02</w:t>
      </w:r>
      <w:r>
        <w:rPr>
          <w:bCs/>
          <w:color w:val="000000"/>
          <w:lang w:val="uk-UA"/>
        </w:rPr>
        <w:t xml:space="preserve"> грудня</w:t>
      </w:r>
      <w:r>
        <w:rPr>
          <w:bCs/>
          <w:lang w:val="uk-UA"/>
        </w:rPr>
        <w:t xml:space="preserve"> 2022 року № 143</w:t>
      </w:r>
    </w:p>
    <w:p>
      <w:pPr>
        <w:pStyle w:val="Normal"/>
        <w:tabs>
          <w:tab w:val="clear" w:pos="709"/>
          <w:tab w:val="left" w:pos="4219" w:leader="none"/>
          <w:tab w:val="left" w:pos="8490" w:leader="none"/>
        </w:tabs>
        <w:ind w:left="5400" w:hanging="0"/>
        <w:rPr>
          <w:color w:val="FF0000"/>
          <w:lang w:val="uk-UA"/>
        </w:rPr>
      </w:pPr>
      <w:r>
        <w:rPr>
          <w:color w:val="FF0000"/>
          <w:lang w:val="uk-UA"/>
        </w:rPr>
      </w:r>
    </w:p>
    <w:p>
      <w:pPr>
        <w:pStyle w:val="Normal"/>
        <w:ind w:left="5400" w:hanging="0"/>
        <w:rPr>
          <w:bCs/>
          <w:lang w:val="ru-RU"/>
        </w:rPr>
      </w:pPr>
      <w:r>
        <w:rPr>
          <w:lang w:val="uk-UA"/>
        </w:rPr>
        <w:t>________________ Г.І. Нетьосіна</w:t>
      </w:r>
    </w:p>
    <w:p>
      <w:pPr>
        <w:pStyle w:val="Normal"/>
        <w:tabs>
          <w:tab w:val="clear" w:pos="709"/>
          <w:tab w:val="left" w:pos="4219" w:leader="none"/>
        </w:tabs>
        <w:ind w:left="5400" w:hanging="0"/>
        <w:rPr>
          <w:lang w:val="uk-UA"/>
        </w:rPr>
      </w:pPr>
      <w:r>
        <w:rPr>
          <w:bCs/>
          <w:lang w:val="uk-UA"/>
        </w:rPr>
        <w:t xml:space="preserve"> </w:t>
      </w:r>
    </w:p>
    <w:p>
      <w:pPr>
        <w:pStyle w:val="Normal"/>
        <w:tabs>
          <w:tab w:val="clear" w:pos="709"/>
          <w:tab w:val="left" w:pos="4219" w:leader="none"/>
        </w:tabs>
        <w:ind w:left="4956" w:hanging="0"/>
        <w:rPr>
          <w:lang w:val="uk-UA"/>
        </w:rPr>
      </w:pPr>
      <w:r>
        <w:rPr>
          <w:lang w:val="uk-UA"/>
        </w:rPr>
      </w:r>
    </w:p>
    <w:p>
      <w:pPr>
        <w:pStyle w:val="Normal"/>
        <w:ind w:left="320" w:hanging="0"/>
        <w:rPr>
          <w:lang w:val="uk-UA"/>
        </w:rPr>
      </w:pPr>
      <w:r>
        <w:rPr>
          <w:lang w:val="uk-UA"/>
        </w:rPr>
      </w:r>
    </w:p>
    <w:p>
      <w:pPr>
        <w:pStyle w:val="Normal"/>
        <w:jc w:val="center"/>
        <w:rPr>
          <w:lang w:val="uk-UA"/>
        </w:rPr>
      </w:pPr>
      <w:r>
        <w:rPr>
          <w:lang w:val="uk-UA"/>
        </w:rPr>
      </w:r>
    </w:p>
    <w:p>
      <w:pPr>
        <w:pStyle w:val="Style34"/>
        <w:spacing w:before="20" w:after="0"/>
        <w:ind w:left="320" w:right="-25"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61"/>
        <w:spacing w:before="20" w:after="0"/>
        <w:ind w:left="0" w:right="-25" w:hanging="0"/>
        <w:rPr>
          <w:sz w:val="24"/>
          <w:lang w:val="uk-UA"/>
        </w:rPr>
      </w:pPr>
      <w:r>
        <w:rPr>
          <w:sz w:val="24"/>
          <w:lang w:val="uk-UA"/>
        </w:rPr>
        <w:t xml:space="preserve">ТЕНДЕРНА ДОКУМЕНТАЦІЯ </w:t>
      </w:r>
    </w:p>
    <w:p>
      <w:pPr>
        <w:pStyle w:val="Style34"/>
        <w:spacing w:before="20" w:after="0"/>
        <w:ind w:left="320" w:right="-25"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Style34"/>
        <w:spacing w:before="20" w:after="0"/>
        <w:ind w:left="320" w:right="-25"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Style34"/>
        <w:spacing w:before="20" w:after="0"/>
        <w:ind w:left="320" w:right="-25"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Style34"/>
        <w:spacing w:before="20" w:after="0"/>
        <w:ind w:left="320" w:right="-25"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center"/>
        <w:rPr>
          <w:b/>
          <w:b/>
          <w:lang w:val="uk-UA"/>
        </w:rPr>
      </w:pPr>
      <w:r>
        <w:rPr>
          <w:b/>
          <w:lang w:val="uk-UA"/>
        </w:rPr>
        <w:t>ЩОДО ПРОВЕДЕННЯ</w:t>
      </w:r>
    </w:p>
    <w:p>
      <w:pPr>
        <w:pStyle w:val="Normal"/>
        <w:jc w:val="center"/>
        <w:rPr>
          <w:lang w:val="uk-UA"/>
        </w:rPr>
      </w:pPr>
      <w:r>
        <w:rPr>
          <w:b/>
          <w:lang w:val="uk-UA"/>
        </w:rPr>
        <w:t>ВІДКРИТИХ ТОРГІВ ЗА ПРЕДМЕТОМ ЗАКУПІВЛІ</w:t>
      </w:r>
    </w:p>
    <w:p>
      <w:pPr>
        <w:pStyle w:val="Normal"/>
        <w:jc w:val="center"/>
        <w:rPr>
          <w:lang w:val="uk-UA"/>
        </w:rPr>
      </w:pPr>
      <w:r>
        <w:rPr>
          <w:lang w:val="uk-UA"/>
        </w:rPr>
      </w:r>
    </w:p>
    <w:p>
      <w:pPr>
        <w:pStyle w:val="Normal"/>
        <w:jc w:val="center"/>
        <w:rPr>
          <w:lang w:val="uk-UA"/>
        </w:rPr>
      </w:pPr>
      <w:r>
        <w:rPr>
          <w:lang w:val="uk-UA"/>
        </w:rPr>
      </w:r>
    </w:p>
    <w:p>
      <w:pPr>
        <w:pStyle w:val="Normal"/>
        <w:jc w:val="center"/>
        <w:rPr>
          <w:lang w:val="uk-UA"/>
        </w:rPr>
      </w:pPr>
      <w:r>
        <w:rPr>
          <w:lang w:val="uk-UA"/>
        </w:rPr>
      </w:r>
    </w:p>
    <w:p>
      <w:pPr>
        <w:pStyle w:val="Normal"/>
        <w:jc w:val="center"/>
        <w:rPr>
          <w:lang w:val="uk-UA"/>
        </w:rPr>
      </w:pPr>
      <w:r>
        <w:rPr>
          <w:lang w:val="uk-UA"/>
        </w:rPr>
      </w:r>
    </w:p>
    <w:p>
      <w:pPr>
        <w:pStyle w:val="Normal"/>
        <w:jc w:val="center"/>
        <w:rPr>
          <w:lang w:val="uk-UA"/>
        </w:rPr>
      </w:pPr>
      <w:r>
        <w:rPr>
          <w:lang w:val="uk-UA"/>
        </w:rPr>
      </w:r>
    </w:p>
    <w:p>
      <w:pPr>
        <w:pStyle w:val="Normal"/>
        <w:jc w:val="center"/>
        <w:rPr>
          <w:b/>
          <w:b/>
          <w:sz w:val="27"/>
          <w:szCs w:val="27"/>
          <w:lang w:val="uk-UA"/>
        </w:rPr>
      </w:pPr>
      <w:r>
        <w:rPr>
          <w:b/>
          <w:sz w:val="27"/>
          <w:szCs w:val="27"/>
          <w:lang w:val="uk-UA"/>
        </w:rPr>
      </w:r>
    </w:p>
    <w:p>
      <w:pPr>
        <w:pStyle w:val="Normal"/>
        <w:ind w:right="-25" w:hanging="0"/>
        <w:jc w:val="center"/>
        <w:rPr>
          <w:lang w:val="uk-UA"/>
        </w:rPr>
      </w:pPr>
      <w:r>
        <w:rPr>
          <w:lang w:val="uk-UA"/>
        </w:rPr>
      </w:r>
    </w:p>
    <w:p>
      <w:pPr>
        <w:pStyle w:val="Normal"/>
        <w:ind w:left="3402" w:right="-25" w:hanging="2694"/>
        <w:rPr>
          <w:b/>
          <w:b/>
          <w:sz w:val="28"/>
          <w:szCs w:val="28"/>
          <w:lang w:val="uk-UA"/>
        </w:rPr>
      </w:pPr>
      <w:r>
        <w:rPr>
          <w:b/>
          <w:bCs/>
          <w:sz w:val="28"/>
          <w:szCs w:val="28"/>
        </w:rPr>
        <w:t>ДК 021:2015 - 79710000-4 «Охоронні послуги» послуги з охорони</w:t>
      </w:r>
      <w:r>
        <w:rPr>
          <w:b/>
          <w:bCs/>
          <w:sz w:val="28"/>
          <w:szCs w:val="28"/>
          <w:lang w:val="uk-UA"/>
        </w:rPr>
        <w:t xml:space="preserve"> </w:t>
      </w:r>
      <w:r>
        <w:rPr>
          <w:b/>
          <w:bCs/>
          <w:sz w:val="28"/>
          <w:szCs w:val="28"/>
        </w:rPr>
        <w:t xml:space="preserve">приміщень </w:t>
      </w:r>
      <w:r>
        <w:rPr>
          <w:b/>
          <w:bCs/>
          <w:sz w:val="28"/>
          <w:szCs w:val="28"/>
          <w:lang w:val="ru-RU"/>
        </w:rPr>
        <w:t>(</w:t>
      </w:r>
      <w:r>
        <w:rPr>
          <w:b/>
          <w:bCs/>
          <w:sz w:val="28"/>
          <w:szCs w:val="28"/>
        </w:rPr>
        <w:t>пультова охорона)</w:t>
      </w:r>
    </w:p>
    <w:p>
      <w:pPr>
        <w:pStyle w:val="Normal"/>
        <w:ind w:right="-25" w:hanging="0"/>
        <w:rPr>
          <w:lang w:val="uk-UA"/>
        </w:rPr>
      </w:pPr>
      <w:r>
        <w:rPr>
          <w:lang w:val="uk-UA"/>
        </w:rPr>
      </w:r>
    </w:p>
    <w:p>
      <w:pPr>
        <w:pStyle w:val="Normal"/>
        <w:ind w:right="-25" w:hanging="0"/>
        <w:rPr>
          <w:lang w:val="uk-UA"/>
        </w:rPr>
      </w:pPr>
      <w:r>
        <w:rPr>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r>
    </w:p>
    <w:p>
      <w:pPr>
        <w:sectPr>
          <w:type w:val="nextPage"/>
          <w:pgSz w:w="11906" w:h="16838"/>
          <w:pgMar w:left="1620" w:right="567" w:header="0" w:top="950" w:footer="0" w:bottom="770" w:gutter="0"/>
          <w:pgNumType w:fmt="decimal"/>
          <w:formProt w:val="false"/>
          <w:textDirection w:val="lrTb"/>
          <w:docGrid w:type="default" w:linePitch="600" w:charSpace="32768"/>
        </w:sectPr>
        <w:pStyle w:val="Normal"/>
        <w:jc w:val="center"/>
        <w:rPr>
          <w:b/>
          <w:b/>
          <w:lang w:val="uk-UA"/>
        </w:rPr>
      </w:pPr>
      <w:r>
        <w:rPr>
          <w:b/>
          <w:lang w:val="uk-UA"/>
        </w:rPr>
        <w:t>Тернопіль – 2022</w:t>
      </w:r>
    </w:p>
    <w:p>
      <w:pPr>
        <w:pStyle w:val="Normal"/>
        <w:ind w:right="-25" w:hanging="0"/>
        <w:rPr>
          <w:b/>
          <w:b/>
          <w:lang w:val="uk-UA"/>
        </w:rPr>
      </w:pPr>
      <w:r>
        <w:rPr>
          <w:b/>
          <w:lang w:val="uk-UA"/>
        </w:rPr>
      </w:r>
    </w:p>
    <w:p>
      <w:pPr>
        <w:pStyle w:val="Normal"/>
        <w:ind w:right="-25" w:hanging="0"/>
        <w:jc w:val="center"/>
        <w:rPr>
          <w:b/>
          <w:b/>
          <w:lang w:val="uk-UA"/>
        </w:rPr>
      </w:pPr>
      <w:r>
        <w:rPr>
          <w:b/>
          <w:lang w:val="uk-UA"/>
        </w:rPr>
      </w:r>
    </w:p>
    <w:p>
      <w:pPr>
        <w:pStyle w:val="Normal"/>
        <w:jc w:val="center"/>
        <w:rPr>
          <w:b/>
          <w:b/>
          <w:lang w:val="uk-UA"/>
        </w:rPr>
      </w:pPr>
      <w:r>
        <w:rPr>
          <w:b/>
          <w:color w:val="000000"/>
          <w:lang w:val="uk-UA"/>
        </w:rPr>
        <w:t>ЗМІСТ</w:t>
      </w:r>
    </w:p>
    <w:p>
      <w:pPr>
        <w:pStyle w:val="Normal"/>
        <w:jc w:val="center"/>
        <w:rPr>
          <w:b/>
          <w:b/>
          <w:lang w:val="uk-UA"/>
        </w:rPr>
      </w:pPr>
      <w:r>
        <w:rPr>
          <w:b/>
          <w:color w:val="000000"/>
          <w:lang w:val="uk-UA"/>
        </w:rPr>
        <w:t xml:space="preserve">тендерної документації </w:t>
      </w:r>
    </w:p>
    <w:p>
      <w:pPr>
        <w:pStyle w:val="Normal"/>
        <w:jc w:val="center"/>
        <w:rPr>
          <w:b/>
          <w:b/>
          <w:lang w:val="uk-UA"/>
        </w:rPr>
      </w:pPr>
      <w:r>
        <w:rPr>
          <w:b/>
          <w:lang w:val="uk-UA"/>
        </w:rPr>
      </w:r>
    </w:p>
    <w:p>
      <w:pPr>
        <w:pStyle w:val="Normal"/>
        <w:rPr>
          <w:lang w:val="uk-UA"/>
        </w:rPr>
      </w:pPr>
      <w:r>
        <w:rPr>
          <w:b/>
          <w:color w:val="000000"/>
          <w:lang w:val="uk-UA"/>
        </w:rPr>
        <w:t>Розділ І. Загальні положення</w:t>
      </w:r>
    </w:p>
    <w:p>
      <w:pPr>
        <w:pStyle w:val="Normal"/>
        <w:tabs>
          <w:tab w:val="clear" w:pos="709"/>
          <w:tab w:val="left" w:pos="360" w:leader="none"/>
          <w:tab w:val="center" w:pos="4819" w:leader="none"/>
          <w:tab w:val="right" w:pos="9639" w:leader="none"/>
        </w:tabs>
        <w:rPr>
          <w:lang w:val="uk-UA"/>
        </w:rPr>
      </w:pPr>
      <w:r>
        <w:rPr>
          <w:color w:val="000000"/>
          <w:lang w:val="uk-UA"/>
        </w:rPr>
        <w:t xml:space="preserve">1. Терміни, які вживаються в тендерній документації </w:t>
      </w:r>
    </w:p>
    <w:p>
      <w:pPr>
        <w:pStyle w:val="Normal"/>
        <w:rPr>
          <w:lang w:val="uk-UA"/>
        </w:rPr>
      </w:pPr>
      <w:r>
        <w:rPr>
          <w:color w:val="000000"/>
          <w:lang w:val="uk-UA"/>
        </w:rPr>
        <w:t>2. Інформація про замовника торгів</w:t>
      </w:r>
    </w:p>
    <w:p>
      <w:pPr>
        <w:pStyle w:val="Normal"/>
        <w:rPr>
          <w:lang w:val="uk-UA"/>
        </w:rPr>
      </w:pPr>
      <w:r>
        <w:rPr>
          <w:color w:val="000000"/>
          <w:lang w:val="uk-UA"/>
        </w:rPr>
        <w:t xml:space="preserve">3. Процедура закупівлі </w:t>
      </w:r>
    </w:p>
    <w:p>
      <w:pPr>
        <w:pStyle w:val="Normal"/>
        <w:rPr>
          <w:lang w:val="uk-UA"/>
        </w:rPr>
      </w:pPr>
      <w:r>
        <w:rPr>
          <w:color w:val="000000"/>
          <w:lang w:val="uk-UA"/>
        </w:rPr>
        <w:t>4. Інформація про предмет закупівлі</w:t>
      </w:r>
    </w:p>
    <w:p>
      <w:pPr>
        <w:pStyle w:val="Normal"/>
        <w:rPr>
          <w:lang w:val="uk-UA"/>
        </w:rPr>
      </w:pPr>
      <w:r>
        <w:rPr>
          <w:color w:val="000000"/>
          <w:lang w:val="uk-UA"/>
        </w:rPr>
        <w:t>5. Недискримінація учасників</w:t>
      </w:r>
    </w:p>
    <w:p>
      <w:pPr>
        <w:pStyle w:val="Normal"/>
        <w:rPr>
          <w:lang w:val="uk-UA"/>
        </w:rPr>
      </w:pPr>
      <w:r>
        <w:rPr>
          <w:color w:val="000000"/>
          <w:lang w:val="uk-UA"/>
        </w:rPr>
        <w:t xml:space="preserve">6. Інформація про валюту, у якій повинно бути розраховано і зазначено ціну тендерної пропозиції </w:t>
      </w:r>
    </w:p>
    <w:p>
      <w:pPr>
        <w:pStyle w:val="Normal"/>
        <w:rPr>
          <w:lang w:val="uk-UA"/>
        </w:rPr>
      </w:pPr>
      <w:r>
        <w:rPr>
          <w:color w:val="000000"/>
          <w:lang w:val="uk-UA"/>
        </w:rPr>
        <w:t xml:space="preserve">7. Інформація про мову (мови), якою (якими) повинно бути складено тендерні пропозиції </w:t>
      </w:r>
    </w:p>
    <w:p>
      <w:pPr>
        <w:pStyle w:val="Normal"/>
        <w:rPr>
          <w:lang w:val="uk-UA"/>
        </w:rPr>
      </w:pPr>
      <w:r>
        <w:rPr>
          <w:b/>
          <w:color w:val="000000"/>
          <w:lang w:val="uk-UA"/>
        </w:rPr>
        <w:t>Розділ ІІ. Порядок внесення змін та надання роз’яснень до тендерної документації</w:t>
      </w:r>
    </w:p>
    <w:p>
      <w:pPr>
        <w:pStyle w:val="Normal"/>
        <w:rPr>
          <w:lang w:val="uk-UA"/>
        </w:rPr>
      </w:pPr>
      <w:r>
        <w:rPr>
          <w:color w:val="000000"/>
          <w:lang w:val="uk-UA"/>
        </w:rPr>
        <w:t>1. Процедура надання роз’яснень щодо тендерної документації</w:t>
      </w:r>
    </w:p>
    <w:p>
      <w:pPr>
        <w:pStyle w:val="Normal"/>
        <w:rPr>
          <w:b/>
          <w:b/>
          <w:lang w:val="uk-UA"/>
        </w:rPr>
      </w:pPr>
      <w:r>
        <w:rPr>
          <w:color w:val="000000"/>
          <w:lang w:val="uk-UA"/>
        </w:rPr>
        <w:t>2. Унесення змін до тендерної документації</w:t>
      </w:r>
    </w:p>
    <w:p>
      <w:pPr>
        <w:pStyle w:val="Normal"/>
        <w:tabs>
          <w:tab w:val="clear" w:pos="709"/>
          <w:tab w:val="left" w:pos="360" w:leader="none"/>
          <w:tab w:val="center" w:pos="4819" w:leader="none"/>
          <w:tab w:val="right" w:pos="9639" w:leader="none"/>
        </w:tabs>
        <w:rPr>
          <w:lang w:val="uk-UA"/>
        </w:rPr>
      </w:pPr>
      <w:r>
        <w:rPr>
          <w:b/>
          <w:color w:val="000000"/>
          <w:lang w:val="uk-UA"/>
        </w:rPr>
        <w:t>Розділ ІІІ. Інструкція з підготовки тендерної пропозиції</w:t>
      </w:r>
    </w:p>
    <w:p>
      <w:pPr>
        <w:pStyle w:val="Normal"/>
        <w:rPr>
          <w:lang w:val="uk-UA"/>
        </w:rPr>
      </w:pPr>
      <w:r>
        <w:rPr>
          <w:color w:val="000000"/>
          <w:lang w:val="uk-UA"/>
        </w:rPr>
        <w:t xml:space="preserve">1. Зміст та спосіб подання тендерної пропозиції </w:t>
      </w:r>
    </w:p>
    <w:p>
      <w:pPr>
        <w:pStyle w:val="Normal"/>
        <w:rPr>
          <w:lang w:val="uk-UA"/>
        </w:rPr>
      </w:pPr>
      <w:r>
        <w:rPr>
          <w:color w:val="000000"/>
          <w:lang w:val="uk-UA"/>
        </w:rPr>
        <w:t xml:space="preserve">2.Опис та приклади несуттєвих помилок </w:t>
      </w:r>
    </w:p>
    <w:p>
      <w:pPr>
        <w:pStyle w:val="Normal"/>
        <w:rPr>
          <w:lang w:val="uk-UA"/>
        </w:rPr>
      </w:pPr>
      <w:r>
        <w:rPr>
          <w:color w:val="000000"/>
          <w:lang w:val="uk-UA"/>
        </w:rPr>
        <w:t>3. Забезпечення тендерної пропозиції</w:t>
      </w:r>
    </w:p>
    <w:p>
      <w:pPr>
        <w:pStyle w:val="Normal"/>
        <w:rPr>
          <w:lang w:val="uk-UA"/>
        </w:rPr>
      </w:pPr>
      <w:r>
        <w:rPr>
          <w:color w:val="000000"/>
          <w:lang w:val="uk-UA"/>
        </w:rPr>
        <w:t>4. Умови повернення чи неповернення забезпечення тендерної пропозиції</w:t>
      </w:r>
    </w:p>
    <w:p>
      <w:pPr>
        <w:pStyle w:val="Normal"/>
        <w:rPr>
          <w:lang w:val="uk-UA"/>
        </w:rPr>
      </w:pPr>
      <w:r>
        <w:rPr>
          <w:color w:val="000000"/>
          <w:lang w:val="uk-UA"/>
        </w:rPr>
        <w:t>5. Строк, протягом якого тендерні пропозиції є дійсними.</w:t>
      </w:r>
    </w:p>
    <w:p>
      <w:pPr>
        <w:pStyle w:val="Normal"/>
        <w:rPr>
          <w:lang w:val="uk-UA"/>
        </w:rPr>
      </w:pPr>
      <w:r>
        <w:rPr>
          <w:color w:val="000000"/>
          <w:lang w:val="uk-UA"/>
        </w:rPr>
        <w:t xml:space="preserve">6. </w:t>
      </w:r>
      <w:r>
        <w:rPr>
          <w:rFonts w:eastAsia="MS Mincho"/>
          <w:color w:val="000000"/>
          <w:lang w:val="uk-UA"/>
        </w:rPr>
        <w:t>Кваліфікаційні критерії до учасників відповідно до статті 16 та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pStyle w:val="Normal"/>
        <w:rPr>
          <w:lang w:val="uk-UA"/>
        </w:rPr>
      </w:pPr>
      <w:r>
        <w:rPr>
          <w:color w:val="000000"/>
          <w:lang w:val="uk-UA"/>
        </w:rPr>
        <w:t>7. Інформація про технічні, якісні та кількісні характеристики предмета закупівлі</w:t>
      </w:r>
    </w:p>
    <w:p>
      <w:pPr>
        <w:pStyle w:val="Normal"/>
        <w:rPr>
          <w:lang w:val="uk-UA"/>
        </w:rPr>
      </w:pPr>
      <w:r>
        <w:rPr>
          <w:color w:val="000000"/>
          <w:lang w:val="uk-UA"/>
        </w:rPr>
        <w:t>8. Інформація про субпідрядника (у випадку закупівлі робіт або послуг)</w:t>
      </w:r>
    </w:p>
    <w:p>
      <w:pPr>
        <w:pStyle w:val="Normal"/>
        <w:rPr>
          <w:b/>
          <w:b/>
          <w:lang w:val="uk-UA"/>
        </w:rPr>
      </w:pPr>
      <w:r>
        <w:rPr>
          <w:color w:val="000000"/>
          <w:lang w:val="uk-UA"/>
        </w:rPr>
        <w:t>9. Унесення змін або відкликання тендерної пропозиції учасником</w:t>
      </w:r>
    </w:p>
    <w:p>
      <w:pPr>
        <w:pStyle w:val="Normal"/>
        <w:rPr>
          <w:bCs/>
          <w:lang w:val="uk-UA"/>
        </w:rPr>
      </w:pPr>
      <w:r>
        <w:rPr>
          <w:b/>
          <w:color w:val="000000"/>
          <w:lang w:val="uk-UA"/>
        </w:rPr>
        <w:t xml:space="preserve">Розділ IV. Подання та розкриття тендерної пропозиції </w:t>
      </w:r>
    </w:p>
    <w:p>
      <w:pPr>
        <w:pStyle w:val="Normal"/>
        <w:rPr>
          <w:bCs/>
          <w:lang w:val="uk-UA"/>
        </w:rPr>
      </w:pPr>
      <w:r>
        <w:rPr>
          <w:bCs/>
          <w:color w:val="000000"/>
          <w:lang w:val="uk-UA"/>
        </w:rPr>
        <w:t>1. Кінцевий строк подання тендерної пропозиції</w:t>
      </w:r>
    </w:p>
    <w:p>
      <w:pPr>
        <w:pStyle w:val="Normal"/>
        <w:rPr>
          <w:b/>
          <w:b/>
          <w:lang w:val="uk-UA"/>
        </w:rPr>
      </w:pPr>
      <w:r>
        <w:rPr>
          <w:bCs/>
          <w:color w:val="000000"/>
          <w:lang w:val="uk-UA"/>
        </w:rPr>
        <w:t>2. Дата та час розкриття тендерної пропозиції</w:t>
      </w:r>
    </w:p>
    <w:p>
      <w:pPr>
        <w:pStyle w:val="Normal"/>
        <w:rPr>
          <w:bCs/>
          <w:lang w:val="uk-UA"/>
        </w:rPr>
      </w:pPr>
      <w:r>
        <w:rPr>
          <w:b/>
          <w:color w:val="000000"/>
          <w:lang w:val="uk-UA"/>
        </w:rPr>
        <w:t>Розділ V. Оцінка тендерної пропозиції</w:t>
      </w:r>
    </w:p>
    <w:p>
      <w:pPr>
        <w:pStyle w:val="Normal"/>
        <w:rPr>
          <w:bCs/>
          <w:lang w:val="uk-UA"/>
        </w:rPr>
      </w:pPr>
      <w:r>
        <w:rPr>
          <w:bCs/>
          <w:color w:val="000000"/>
          <w:lang w:val="uk-UA"/>
        </w:rPr>
        <w:t>1. Перелік критеріїв та методика оцінки тендерної пропозиції із зазначенням питомої ваги критерію</w:t>
      </w:r>
    </w:p>
    <w:p>
      <w:pPr>
        <w:pStyle w:val="Normal"/>
        <w:rPr>
          <w:bCs/>
          <w:lang w:val="uk-UA"/>
        </w:rPr>
      </w:pPr>
      <w:r>
        <w:rPr>
          <w:bCs/>
          <w:color w:val="000000"/>
          <w:lang w:val="uk-UA"/>
        </w:rPr>
        <w:t xml:space="preserve">2.  </w:t>
      </w:r>
      <w:r>
        <w:rPr>
          <w:color w:val="000000"/>
          <w:lang w:val="uk-UA"/>
        </w:rPr>
        <w:t>Виправлення арифметичних помилок</w:t>
      </w:r>
    </w:p>
    <w:p>
      <w:pPr>
        <w:pStyle w:val="Normal"/>
        <w:rPr>
          <w:bCs/>
          <w:lang w:val="uk-UA"/>
        </w:rPr>
      </w:pPr>
      <w:r>
        <w:rPr>
          <w:bCs/>
          <w:color w:val="000000"/>
          <w:lang w:val="uk-UA"/>
        </w:rPr>
        <w:t xml:space="preserve">3. Інша інформація </w:t>
      </w:r>
    </w:p>
    <w:p>
      <w:pPr>
        <w:pStyle w:val="Normal"/>
        <w:rPr>
          <w:b/>
          <w:b/>
          <w:lang w:val="uk-UA"/>
        </w:rPr>
      </w:pPr>
      <w:r>
        <w:rPr>
          <w:color w:val="000000"/>
          <w:lang w:val="uk-UA"/>
        </w:rPr>
        <w:t>4. Розгляд тендерної пропозиції з аномально низькою ціною</w:t>
      </w:r>
    </w:p>
    <w:p>
      <w:pPr>
        <w:pStyle w:val="Normal"/>
        <w:rPr>
          <w:b/>
          <w:b/>
          <w:lang w:val="uk-UA"/>
        </w:rPr>
      </w:pPr>
      <w:r>
        <w:rPr>
          <w:color w:val="000000"/>
          <w:lang w:val="uk-UA"/>
        </w:rPr>
        <w:t>5. Усунення невідповідностей</w:t>
      </w:r>
    </w:p>
    <w:p>
      <w:pPr>
        <w:pStyle w:val="Normal"/>
        <w:rPr>
          <w:b/>
          <w:b/>
          <w:lang w:val="uk-UA"/>
        </w:rPr>
      </w:pPr>
      <w:r>
        <w:rPr>
          <w:bCs/>
          <w:color w:val="000000"/>
          <w:lang w:val="uk-UA"/>
        </w:rPr>
        <w:t>6. Відхилення тендерних пропозицій</w:t>
      </w:r>
    </w:p>
    <w:p>
      <w:pPr>
        <w:pStyle w:val="Normal"/>
        <w:rPr>
          <w:lang w:val="uk-UA"/>
        </w:rPr>
      </w:pPr>
      <w:r>
        <w:rPr>
          <w:b/>
          <w:color w:val="000000"/>
          <w:lang w:val="uk-UA"/>
        </w:rPr>
        <w:t>Розділ VI. Результати торгів та укладання договору про закупівлю</w:t>
      </w:r>
    </w:p>
    <w:p>
      <w:pPr>
        <w:pStyle w:val="Normal"/>
        <w:rPr>
          <w:bCs/>
          <w:lang w:val="uk-UA"/>
        </w:rPr>
      </w:pPr>
      <w:r>
        <w:rPr>
          <w:color w:val="000000"/>
          <w:lang w:val="uk-UA"/>
        </w:rPr>
        <w:t>1. Відміна замовником тендеру чи визнання його таким, що не відбувся</w:t>
      </w:r>
    </w:p>
    <w:p>
      <w:pPr>
        <w:pStyle w:val="Normal"/>
        <w:rPr>
          <w:bCs/>
          <w:lang w:val="uk-UA"/>
        </w:rPr>
      </w:pPr>
      <w:r>
        <w:rPr>
          <w:bCs/>
          <w:color w:val="000000"/>
          <w:lang w:val="uk-UA"/>
        </w:rPr>
        <w:t>2. Строк укладання договору</w:t>
      </w:r>
    </w:p>
    <w:p>
      <w:pPr>
        <w:pStyle w:val="Normal"/>
        <w:rPr>
          <w:bCs/>
          <w:lang w:val="uk-UA"/>
        </w:rPr>
      </w:pPr>
      <w:r>
        <w:rPr>
          <w:bCs/>
          <w:color w:val="000000"/>
          <w:lang w:val="uk-UA"/>
        </w:rPr>
        <w:t>3. Проект договору про закупівлю</w:t>
      </w:r>
    </w:p>
    <w:p>
      <w:pPr>
        <w:pStyle w:val="Normal"/>
        <w:rPr>
          <w:bCs/>
          <w:lang w:val="uk-UA"/>
        </w:rPr>
      </w:pPr>
      <w:r>
        <w:rPr>
          <w:bCs/>
          <w:color w:val="000000"/>
          <w:lang w:val="uk-UA"/>
        </w:rPr>
        <w:t>4</w:t>
      </w:r>
      <w:r>
        <w:rPr>
          <w:color w:val="000000"/>
          <w:lang w:val="uk-UA"/>
        </w:rPr>
        <w:t>. Істотні умови, що обов’язково включаються до договору про закупівлю</w:t>
      </w:r>
    </w:p>
    <w:p>
      <w:pPr>
        <w:pStyle w:val="Normal"/>
        <w:rPr>
          <w:lang w:val="uk-UA"/>
        </w:rPr>
      </w:pPr>
      <w:r>
        <w:rPr>
          <w:bCs/>
          <w:color w:val="000000"/>
          <w:lang w:val="uk-UA"/>
        </w:rPr>
        <w:t>5. Дії замовника при відмові переможця торгів підписати договір про закупівлю</w:t>
      </w:r>
    </w:p>
    <w:p>
      <w:pPr>
        <w:pStyle w:val="Normal"/>
        <w:rPr>
          <w:bCs/>
          <w:lang w:val="uk-UA"/>
        </w:rPr>
      </w:pPr>
      <w:r>
        <w:rPr>
          <w:color w:val="000000"/>
          <w:lang w:val="uk-UA"/>
        </w:rPr>
        <w:t>6. Забезпечення виконання договору про закупівлю</w:t>
      </w:r>
    </w:p>
    <w:p>
      <w:pPr>
        <w:pStyle w:val="Normal"/>
        <w:ind w:left="180" w:hanging="0"/>
        <w:rPr>
          <w:bCs/>
          <w:lang w:val="uk-UA"/>
        </w:rPr>
      </w:pPr>
      <w:r>
        <w:rPr>
          <w:bCs/>
          <w:lang w:val="uk-UA"/>
        </w:rPr>
      </w:r>
    </w:p>
    <w:p>
      <w:pPr>
        <w:pStyle w:val="Normal"/>
        <w:tabs>
          <w:tab w:val="clear" w:pos="709"/>
          <w:tab w:val="left" w:pos="142" w:leader="none"/>
          <w:tab w:val="center" w:pos="4819" w:leader="none"/>
          <w:tab w:val="right" w:pos="9639" w:leader="none"/>
        </w:tabs>
        <w:ind w:right="-25" w:hanging="0"/>
        <w:rPr>
          <w:b/>
          <w:b/>
          <w:color w:val="000000"/>
          <w:lang w:val="uk-UA"/>
        </w:rPr>
      </w:pPr>
      <w:r>
        <w:rPr>
          <w:b/>
          <w:color w:val="000000"/>
          <w:lang w:val="uk-UA"/>
        </w:rPr>
        <w:t xml:space="preserve">Додаток 1 </w:t>
      </w:r>
      <w:r>
        <w:rPr>
          <w:color w:val="000000"/>
          <w:lang w:val="uk-UA"/>
        </w:rPr>
        <w:t>Інформація про необхідні технічні, якісні та кількісні характеристики предмета закупівлі</w:t>
      </w:r>
    </w:p>
    <w:p>
      <w:pPr>
        <w:pStyle w:val="Normal"/>
        <w:tabs>
          <w:tab w:val="clear" w:pos="709"/>
          <w:tab w:val="left" w:pos="142" w:leader="none"/>
          <w:tab w:val="center" w:pos="4819" w:leader="none"/>
          <w:tab w:val="right" w:pos="9639" w:leader="none"/>
        </w:tabs>
        <w:ind w:right="-25" w:hanging="0"/>
        <w:rPr>
          <w:b/>
          <w:b/>
          <w:color w:val="000000"/>
          <w:lang w:val="uk-UA"/>
        </w:rPr>
      </w:pPr>
      <w:r>
        <w:rPr>
          <w:b/>
          <w:color w:val="000000"/>
          <w:lang w:val="uk-UA"/>
        </w:rPr>
        <w:t>Додаток 2</w:t>
      </w:r>
      <w:r>
        <w:rPr>
          <w:color w:val="000000"/>
          <w:lang w:val="uk-UA"/>
        </w:rPr>
        <w:t xml:space="preserve"> Тендерна пропозиція</w:t>
      </w:r>
    </w:p>
    <w:p>
      <w:pPr>
        <w:sectPr>
          <w:headerReference w:type="default" r:id="rId2"/>
          <w:footerReference w:type="default" r:id="rId3"/>
          <w:type w:val="nextPage"/>
          <w:pgSz w:w="11906" w:h="16838"/>
          <w:pgMar w:left="1620" w:right="567" w:header="397" w:top="719" w:footer="720" w:bottom="777" w:gutter="0"/>
          <w:pgNumType w:fmt="decimal"/>
          <w:formProt w:val="false"/>
          <w:textDirection w:val="lrTb"/>
          <w:docGrid w:type="default" w:linePitch="600" w:charSpace="32768"/>
        </w:sectPr>
        <w:pStyle w:val="Normal"/>
        <w:tabs>
          <w:tab w:val="clear" w:pos="709"/>
          <w:tab w:val="left" w:pos="142" w:leader="none"/>
          <w:tab w:val="center" w:pos="4819" w:leader="none"/>
          <w:tab w:val="right" w:pos="9639" w:leader="none"/>
        </w:tabs>
        <w:ind w:right="-25" w:hanging="0"/>
        <w:rPr>
          <w:bCs/>
          <w:color w:val="000000"/>
          <w:lang w:val="uk-UA"/>
        </w:rPr>
      </w:pPr>
      <w:r>
        <w:rPr>
          <w:b/>
          <w:bCs/>
          <w:color w:val="000000"/>
          <w:lang w:val="uk-UA"/>
        </w:rPr>
        <w:t xml:space="preserve">Додаток 3 </w:t>
      </w:r>
      <w:r>
        <w:rPr>
          <w:color w:val="000000"/>
          <w:lang w:val="uk-UA"/>
        </w:rPr>
        <w:t>Проект договору</w:t>
      </w:r>
    </w:p>
    <w:p>
      <w:pPr>
        <w:pStyle w:val="Normal"/>
        <w:ind w:right="-25" w:hanging="0"/>
        <w:rPr>
          <w:b/>
          <w:b/>
          <w:lang w:val="uk-UA"/>
        </w:rPr>
      </w:pPr>
      <w:r>
        <w:rPr>
          <w:b/>
          <w:lang w:val="uk-UA"/>
        </w:rPr>
      </w:r>
    </w:p>
    <w:tbl>
      <w:tblPr>
        <w:tblW w:w="9675" w:type="dxa"/>
        <w:jc w:val="left"/>
        <w:tblInd w:w="5" w:type="dxa"/>
        <w:tblCellMar>
          <w:top w:w="0" w:type="dxa"/>
          <w:left w:w="5" w:type="dxa"/>
          <w:bottom w:w="0" w:type="dxa"/>
          <w:right w:w="0" w:type="dxa"/>
        </w:tblCellMar>
        <w:tblLook w:val="0000"/>
      </w:tblPr>
      <w:tblGrid>
        <w:gridCol w:w="654"/>
        <w:gridCol w:w="2459"/>
        <w:gridCol w:w="6521"/>
        <w:gridCol w:w="11"/>
        <w:gridCol w:w="30"/>
      </w:tblGrid>
      <w:tr>
        <w:trPr>
          <w:trHeight w:val="339" w:hRule="atLeast"/>
        </w:trPr>
        <w:tc>
          <w:tcPr>
            <w:tcW w:w="9645" w:type="dxa"/>
            <w:gridSpan w:val="4"/>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jc w:val="center"/>
              <w:rPr>
                <w:b/>
                <w:b/>
                <w:lang w:val="uk-UA"/>
              </w:rPr>
            </w:pPr>
            <w:r>
              <w:rPr>
                <w:b/>
                <w:lang w:val="uk-UA"/>
              </w:rPr>
              <w:t>I. Загальні положення</w:t>
            </w:r>
          </w:p>
        </w:tc>
        <w:tc>
          <w:tcPr>
            <w:tcW w:w="30" w:type="dxa"/>
            <w:tcBorders>
              <w:left w:val="single" w:sz="4" w:space="0" w:color="000000"/>
            </w:tcBorders>
            <w:shd w:color="auto" w:fill="auto" w:val="clear"/>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right="113" w:hanging="0"/>
              <w:jc w:val="center"/>
              <w:rPr>
                <w:b/>
                <w:b/>
                <w:lang w:val="uk-UA"/>
              </w:rPr>
            </w:pPr>
            <w:r>
              <w:rPr>
                <w:lang w:val="uk-UA"/>
              </w:rPr>
              <w:t>1</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right="113" w:hanging="0"/>
              <w:jc w:val="center"/>
              <w:rPr>
                <w:b/>
                <w:b/>
                <w:lang w:val="uk-UA"/>
              </w:rPr>
            </w:pPr>
            <w:r>
              <w:rPr>
                <w:lang w:val="uk-UA"/>
              </w:rPr>
              <w:t>2</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96" w:after="96"/>
              <w:ind w:left="113" w:right="113" w:hanging="0"/>
              <w:jc w:val="center"/>
              <w:rPr>
                <w:b/>
                <w:b/>
                <w:lang w:val="uk-UA"/>
              </w:rPr>
            </w:pPr>
            <w:r>
              <w:rPr>
                <w:lang w:val="uk-UA"/>
              </w:rPr>
              <w:t>3</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124"/>
              <w:spacing w:before="96" w:after="96"/>
              <w:ind w:left="113" w:right="113" w:hanging="0"/>
              <w:rPr>
                <w:rFonts w:ascii="Times New Roman" w:hAnsi="Times New Roman" w:cs="Times New Roman"/>
                <w:b/>
                <w:b/>
                <w:szCs w:val="24"/>
              </w:rPr>
            </w:pPr>
            <w:r>
              <w:rPr>
                <w:rFonts w:cs="Times New Roman" w:ascii="Times New Roman" w:hAnsi="Times New Roman"/>
                <w:b/>
                <w:szCs w:val="24"/>
              </w:rPr>
              <w:t>1.</w:t>
            </w:r>
          </w:p>
        </w:tc>
        <w:tc>
          <w:tcPr>
            <w:tcW w:w="2459" w:type="dxa"/>
            <w:tcBorders>
              <w:top w:val="single" w:sz="4" w:space="0" w:color="000000"/>
              <w:left w:val="single" w:sz="4" w:space="0" w:color="000000"/>
              <w:bottom w:val="single" w:sz="4" w:space="0" w:color="000000"/>
            </w:tcBorders>
            <w:shd w:color="auto" w:fill="FFFFFF" w:val="clear"/>
          </w:tcPr>
          <w:p>
            <w:pPr>
              <w:pStyle w:val="124"/>
              <w:spacing w:before="96" w:after="96"/>
              <w:ind w:left="113" w:right="113" w:hanging="0"/>
              <w:rPr>
                <w:rFonts w:ascii="Times New Roman" w:hAnsi="Times New Roman" w:cs="Times New Roman"/>
                <w:szCs w:val="24"/>
              </w:rPr>
            </w:pPr>
            <w:r>
              <w:rPr>
                <w:rFonts w:cs="Times New Roman" w:ascii="Times New Roman" w:hAnsi="Times New Roman"/>
                <w:b/>
                <w:szCs w:val="24"/>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w:anchor="_blank">
              <w:r>
                <w:rPr>
                  <w:rFonts w:ascii="Times New Roman" w:hAnsi="Times New Roman"/>
                  <w:color w:val="000000"/>
                </w:rPr>
                <w:t>Закону</w:t>
              </w:r>
            </w:hyperlink>
            <w:r>
              <w:rPr>
                <w:rFonts w:cs="Times New Roman" w:ascii="Times New Roman" w:hAnsi="Times New Roman"/>
                <w:color w:val="000000"/>
                <w:szCs w:val="24"/>
              </w:rPr>
              <w:t xml:space="preserve"> України “Про публічні закупівлі” №922-VIII від 25.12.2015 року (далі – Закон), </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Терміни вживаються у значенні, наведеному в Законі.</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2.1.</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повне найменування</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Головне управління Пенсійного фонду України в Тернопільській області (далі - Замовник)</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2.2.</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місцезнаходження</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Майдан Волі, 3, м. Тернопіль, Тернопільська область, 46001</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1576"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2.3.</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посадова особа замовника, уповноважена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Контактна особа замовника, уповноважена здійснювати зв’язок з учасниками: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з технічних питань:</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b/>
                <w:bCs/>
                <w:szCs w:val="24"/>
              </w:rPr>
              <w:t>Щепний Михайло Володимирович</w:t>
            </w:r>
            <w:r>
              <w:rPr>
                <w:rFonts w:cs="Times New Roman" w:ascii="Times New Roman" w:hAnsi="Times New Roman"/>
                <w:szCs w:val="24"/>
              </w:rPr>
              <w:t xml:space="preserve"> – начальник управління адміністративного забезпечення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46001, м. Тернопіль, Майдан Волі, 3</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тел. роб.: (0352) 434950</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тел. моб.: (097) 416 3940</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e-mail:</w:t>
            </w:r>
            <w:r>
              <w:rPr>
                <w:rFonts w:cs="Times New Roman" w:ascii="Times New Roman" w:hAnsi="Times New Roman"/>
                <w:szCs w:val="24"/>
                <w:lang w:val="ru-RU"/>
              </w:rPr>
              <w:t xml:space="preserve"> </w:t>
            </w:r>
            <w:r>
              <w:rPr>
                <w:rFonts w:cs="Times New Roman" w:ascii="Times New Roman" w:hAnsi="Times New Roman"/>
                <w:szCs w:val="24"/>
              </w:rPr>
              <w:t>lozovych_o@ukr.net</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з організаційних питань:</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b/>
                <w:bCs/>
                <w:szCs w:val="24"/>
              </w:rPr>
              <w:t>Нетьосіна Галина Іванівна</w:t>
            </w:r>
            <w:r>
              <w:rPr>
                <w:rFonts w:cs="Times New Roman" w:ascii="Times New Roman" w:hAnsi="Times New Roman"/>
                <w:szCs w:val="24"/>
              </w:rPr>
              <w:t xml:space="preserve"> –</w:t>
            </w:r>
            <w:r>
              <w:rPr>
                <w:rFonts w:cs="Times New Roman" w:ascii="Times New Roman" w:hAnsi="Times New Roman"/>
                <w:szCs w:val="24"/>
                <w:lang w:val="ru-RU"/>
              </w:rPr>
              <w:t xml:space="preserve"> г</w:t>
            </w:r>
            <w:r>
              <w:rPr>
                <w:rFonts w:cs="Times New Roman" w:ascii="Times New Roman" w:hAnsi="Times New Roman"/>
                <w:bCs/>
                <w:szCs w:val="24"/>
              </w:rPr>
              <w:t>оловний спеціаліст - юрисконсульт сектору</w:t>
            </w:r>
            <w:r>
              <w:rPr>
                <w:rFonts w:cs="Times New Roman" w:ascii="Times New Roman" w:hAnsi="Times New Roman"/>
                <w:b/>
                <w:bCs/>
                <w:szCs w:val="24"/>
              </w:rPr>
              <w:t xml:space="preserve"> </w:t>
            </w:r>
            <w:r>
              <w:rPr>
                <w:rFonts w:cs="Times New Roman" w:ascii="Times New Roman" w:hAnsi="Times New Roman"/>
                <w:bCs/>
                <w:szCs w:val="24"/>
              </w:rPr>
              <w:t>договірної роботи</w:t>
            </w:r>
            <w:r>
              <w:rPr>
                <w:rFonts w:cs="Times New Roman" w:ascii="Times New Roman" w:hAnsi="Times New Roman"/>
                <w:b/>
                <w:bCs/>
                <w:szCs w:val="24"/>
              </w:rPr>
              <w:t xml:space="preserve"> </w:t>
            </w:r>
            <w:r>
              <w:rPr>
                <w:rFonts w:cs="Times New Roman" w:ascii="Times New Roman" w:hAnsi="Times New Roman"/>
                <w:szCs w:val="24"/>
              </w:rPr>
              <w:t xml:space="preserve">юридичного управління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46001, м. Тернопіль, Майдан Волі, 3</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тел. роб.: (0352) 23 62 54</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e-mail: law@tr.pfu.gov.ua</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314"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Процедура закупівлі</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Відкриті торги</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42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 </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1075"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4.1.</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bCs/>
              </w:rPr>
              <w:t xml:space="preserve">ДК 021:2015 - 79710000-4 «Охоронні послуги» послуги з охорони приміщень </w:t>
            </w:r>
            <w:r>
              <w:rPr>
                <w:rFonts w:cs="Times New Roman" w:ascii="Times New Roman" w:hAnsi="Times New Roman"/>
                <w:bCs/>
                <w:lang w:val="ru-RU"/>
              </w:rPr>
              <w:t>(</w:t>
            </w:r>
            <w:r>
              <w:rPr>
                <w:rFonts w:cs="Times New Roman" w:ascii="Times New Roman" w:hAnsi="Times New Roman"/>
                <w:bCs/>
              </w:rPr>
              <w:t>пультова охорона)</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159"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lang w:val="uk-UA"/>
              </w:rPr>
              <w:t>4.2.</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lang w:val="uk-UA"/>
              </w:rPr>
              <w:t>опис окремої частини (части)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Окремі частини предмета закупівлі (лоти) не передбачено. Закупівля здійснюється в цілому.</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85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rFonts w:eastAsia="MS Mincho"/>
                <w:bCs/>
                <w:color w:val="121212"/>
                <w:lang w:val="uk-UA"/>
              </w:rPr>
            </w:pPr>
            <w:r>
              <w:rPr>
                <w:lang w:val="uk-UA"/>
              </w:rPr>
              <w:t>4.3.</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rFonts w:eastAsia="MS Mincho"/>
                <w:bCs/>
                <w:color w:val="121212"/>
                <w:lang w:val="uk-UA"/>
              </w:rPr>
              <w:t>місце, кількість, обсяг поставки товарів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46001, м. Тернопіль, Майдан Волі, 3</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87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lang w:val="uk-UA"/>
              </w:rPr>
              <w:t>4.4.</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lang w:val="uk-UA"/>
              </w:rPr>
              <w:t xml:space="preserve">строк </w:t>
            </w:r>
            <w:r>
              <w:rPr>
                <w:rFonts w:eastAsia="MS Mincho"/>
                <w:bCs/>
                <w:color w:val="121212"/>
                <w:lang w:val="uk-UA"/>
              </w:rPr>
              <w:t>поставки товарів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color w:val="000000" w:themeColor="text1"/>
                <w:szCs w:val="24"/>
              </w:rPr>
            </w:pPr>
            <w:r>
              <w:rPr>
                <w:rFonts w:cs="Times New Roman" w:ascii="Times New Roman" w:hAnsi="Times New Roman"/>
                <w:color w:val="000000"/>
                <w:szCs w:val="24"/>
              </w:rPr>
              <w:t xml:space="preserve">Протягом </w:t>
            </w:r>
            <w:r>
              <w:rPr>
                <w:rFonts w:eastAsia="Calibri" w:cs="Times New Roman" w:ascii="Times New Roman" w:hAnsi="Times New Roman"/>
                <w:color w:val="000000"/>
                <w:szCs w:val="24"/>
              </w:rPr>
              <w:t>2023 року</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925"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5. 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b/>
                <w:lang w:val="uk-UA"/>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3" w:right="136" w:firstLine="283"/>
              <w:jc w:val="both"/>
              <w:rPr>
                <w:color w:val="000000"/>
              </w:rPr>
            </w:pPr>
            <w:r>
              <w:rPr>
                <w:color w:val="000000"/>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spacing w:lineRule="atLeast" w:line="240" w:before="0" w:after="0"/>
              <w:ind w:left="143" w:right="136" w:firstLine="283"/>
              <w:contextualSpacing/>
              <w:jc w:val="both"/>
              <w:rPr/>
            </w:pPr>
            <w:r>
              <w:rPr>
                <w:color w:val="000000"/>
              </w:rPr>
              <w:t>Замовник забезпечує вільний доступ усіх учасників до інформації про закупівлю, передбаченої Законом.</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1077"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6. 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b/>
                <w:lang w:val="uk-UA"/>
              </w:rPr>
              <w:t>Інформація про валюту, у якій повинно бути розраховано і зазначено ціну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7. 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b/>
                <w:lang w:val="uk-UA"/>
              </w:rPr>
              <w:t>Інформація про мову (мови), якою (якими) повинно бути складено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p>
            <w:pPr>
              <w:pStyle w:val="Normal"/>
              <w:spacing w:lineRule="atLeast" w:line="160"/>
              <w:ind w:left="143" w:right="136" w:firstLine="283"/>
              <w:jc w:val="both"/>
              <w:rPr/>
            </w:pPr>
            <w:r>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pPr>
              <w:pStyle w:val="Normal"/>
              <w:spacing w:lineRule="atLeast" w:line="160"/>
              <w:ind w:left="143" w:right="136" w:firstLine="283"/>
              <w:jc w:val="both"/>
              <w:rPr>
                <w:b/>
                <w:b/>
                <w:bCs/>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p>
            <w:pPr>
              <w:pStyle w:val="Normal"/>
              <w:spacing w:lineRule="atLeast" w:line="160"/>
              <w:ind w:left="143" w:right="136" w:firstLine="283"/>
              <w:jc w:val="both"/>
              <w:rPr>
                <w:b/>
                <w:b/>
                <w:bCs/>
              </w:rPr>
            </w:pPr>
            <w:r>
              <w:rPr>
                <w:b/>
                <w:bCs/>
              </w:rPr>
            </w:r>
          </w:p>
          <w:p>
            <w:pPr>
              <w:pStyle w:val="Normal"/>
              <w:spacing w:lineRule="atLeast" w:line="160"/>
              <w:ind w:left="143" w:right="136" w:firstLine="283"/>
              <w:jc w:val="both"/>
              <w:rPr>
                <w:b/>
                <w:b/>
                <w:bCs/>
              </w:rPr>
            </w:pPr>
            <w:r>
              <w:rPr>
                <w:b/>
                <w:bCs/>
              </w:rPr>
            </w:r>
          </w:p>
          <w:p>
            <w:pPr>
              <w:pStyle w:val="Normal"/>
              <w:spacing w:lineRule="atLeast" w:line="160"/>
              <w:ind w:left="143" w:right="136" w:firstLine="283"/>
              <w:jc w:val="both"/>
              <w:rPr>
                <w:b/>
                <w:b/>
                <w:bCs/>
              </w:rPr>
            </w:pPr>
            <w:r>
              <w:rPr>
                <w:b/>
                <w:bCs/>
              </w:rPr>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252" w:hRule="atLeast"/>
        </w:trPr>
        <w:tc>
          <w:tcPr>
            <w:tcW w:w="9645" w:type="dxa"/>
            <w:gridSpan w:val="4"/>
            <w:tcBorders>
              <w:top w:val="single" w:sz="4" w:space="0" w:color="000000"/>
              <w:left w:val="single" w:sz="4" w:space="0" w:color="000000"/>
              <w:bottom w:val="single" w:sz="4" w:space="0" w:color="000000"/>
            </w:tcBorders>
            <w:shd w:color="auto" w:fill="FFFFFF" w:val="clear"/>
          </w:tcPr>
          <w:p>
            <w:pPr>
              <w:pStyle w:val="26"/>
              <w:spacing w:lineRule="atLeast" w:line="240" w:before="113" w:after="113"/>
              <w:ind w:left="143" w:right="136" w:firstLine="283"/>
              <w:jc w:val="center"/>
              <w:rPr>
                <w:rFonts w:ascii="Times New Roman" w:hAnsi="Times New Roman" w:cs="Times New Roman"/>
                <w:b/>
                <w:b/>
                <w:szCs w:val="24"/>
              </w:rPr>
            </w:pPr>
            <w:r>
              <w:rPr>
                <w:rFonts w:cs="Times New Roman" w:ascii="Times New Roman" w:hAnsi="Times New Roman"/>
                <w:b/>
                <w:szCs w:val="24"/>
              </w:rPr>
              <w:t xml:space="preserve">ІІ. Порядок унесення змін та надання роз’яснень до тендерної документації </w:t>
            </w:r>
          </w:p>
        </w:tc>
        <w:tc>
          <w:tcPr>
            <w:tcW w:w="30" w:type="dxa"/>
            <w:tcBorders>
              <w:left w:val="single" w:sz="4" w:space="0" w:color="000000"/>
            </w:tcBorders>
            <w:shd w:color="auto" w:fill="auto" w:val="clear"/>
          </w:tcPr>
          <w:p>
            <w:pPr>
              <w:pStyle w:val="Normal"/>
              <w:snapToGrid w:val="false"/>
              <w:rPr>
                <w:b/>
                <w:b/>
                <w:lang w:val="uk-UA"/>
              </w:rPr>
            </w:pPr>
            <w:r>
              <w:rPr>
                <w:b/>
                <w:lang w:val="uk-UA"/>
              </w:rPr>
            </w:r>
          </w:p>
        </w:tc>
      </w:tr>
      <w:tr>
        <w:trPr>
          <w:trHeight w:val="2075"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1.</w:t>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Процедура надання роз’яснень щодо тендерної документації</w:t>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jc w:val="center"/>
              <w:rPr>
                <w:b/>
                <w:b/>
                <w:lang w:val="uk-UA"/>
              </w:rPr>
            </w:pPr>
            <w:r>
              <w:rPr>
                <w:b/>
                <w:lang w:val="uk-UA"/>
              </w:rPr>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1.3. Зазначена у цій частині інформація оприлюднюється замовником відповідно до статті 10 Закону.</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87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w:t>
            </w:r>
          </w:p>
          <w:p>
            <w:pPr>
              <w:pStyle w:val="Normal"/>
              <w:spacing w:before="96" w:after="96"/>
              <w:ind w:left="113" w:right="113" w:hanging="0"/>
              <w:rPr>
                <w:b/>
                <w:b/>
                <w:lang w:val="uk-UA"/>
              </w:rPr>
            </w:pPr>
            <w:r>
              <w:rPr>
                <w:b/>
                <w:lang w:val="uk-UA"/>
              </w:rPr>
            </w:r>
          </w:p>
          <w:p>
            <w:pPr>
              <w:pStyle w:val="Normal"/>
              <w:spacing w:before="96" w:after="96"/>
              <w:ind w:left="113" w:right="113" w:hanging="0"/>
              <w:rPr>
                <w:b/>
                <w:b/>
                <w:lang w:val="uk-UA"/>
              </w:rPr>
            </w:pPr>
            <w:r>
              <w:rPr>
                <w:b/>
                <w:lang w:val="uk-UA"/>
              </w:rPr>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Унесення змін до тендерної документації</w:t>
            </w:r>
          </w:p>
          <w:p>
            <w:pPr>
              <w:pStyle w:val="Normal"/>
              <w:spacing w:before="96" w:after="96"/>
              <w:ind w:left="113" w:right="113" w:hanging="0"/>
              <w:rPr>
                <w:b/>
                <w:b/>
                <w:lang w:val="uk-UA"/>
              </w:rPr>
            </w:pPr>
            <w:r>
              <w:rPr>
                <w:b/>
                <w:lang w:val="uk-UA"/>
              </w:rPr>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2.3. Зазначена у цій частині інформація оприлюднюється замовником відповідно до статті 10 Закону.</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9645" w:type="dxa"/>
            <w:gridSpan w:val="4"/>
            <w:tcBorders>
              <w:top w:val="single" w:sz="4" w:space="0" w:color="000000"/>
              <w:left w:val="single" w:sz="4" w:space="0" w:color="000000"/>
              <w:bottom w:val="single" w:sz="4" w:space="0" w:color="000000"/>
            </w:tcBorders>
            <w:shd w:color="auto" w:fill="FFFFFF" w:val="clear"/>
          </w:tcPr>
          <w:p>
            <w:pPr>
              <w:pStyle w:val="26"/>
              <w:spacing w:lineRule="atLeast" w:line="240" w:before="113" w:after="113"/>
              <w:ind w:left="143" w:right="136" w:firstLine="283"/>
              <w:jc w:val="center"/>
              <w:rPr>
                <w:rFonts w:ascii="Times New Roman" w:hAnsi="Times New Roman" w:cs="Times New Roman"/>
                <w:szCs w:val="24"/>
              </w:rPr>
            </w:pPr>
            <w:r>
              <w:rPr>
                <w:rFonts w:cs="Times New Roman" w:ascii="Times New Roman" w:hAnsi="Times New Roman"/>
                <w:b/>
                <w:bCs/>
                <w:szCs w:val="24"/>
              </w:rPr>
              <w:t xml:space="preserve">IIІ. Інструкція з підготовки тендерної пропозиції </w:t>
            </w:r>
          </w:p>
        </w:tc>
        <w:tc>
          <w:tcPr>
            <w:tcW w:w="30" w:type="dxa"/>
            <w:tcBorders>
              <w:left w:val="single" w:sz="4" w:space="0" w:color="000000"/>
            </w:tcBorders>
            <w:shd w:color="auto" w:fill="auto" w:val="clear"/>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1.</w:t>
            </w:r>
          </w:p>
          <w:p>
            <w:pPr>
              <w:pStyle w:val="Normal"/>
              <w:spacing w:before="96" w:after="96"/>
              <w:ind w:left="113" w:right="113" w:hanging="0"/>
              <w:rPr>
                <w:b/>
                <w:b/>
                <w:lang w:val="uk-UA"/>
              </w:rPr>
            </w:pPr>
            <w:r>
              <w:rPr>
                <w:b/>
                <w:lang w:val="uk-UA"/>
              </w:rPr>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b/>
                <w:lang w:val="uk-UA"/>
              </w:rPr>
              <w:t>Зміст та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9"/>
                <w:tab w:val="left" w:pos="5606" w:leader="none"/>
              </w:tabs>
              <w:spacing w:before="0" w:after="0"/>
              <w:ind w:left="143" w:right="136" w:firstLine="283"/>
              <w:contextualSpacing/>
              <w:jc w:val="both"/>
              <w:rPr>
                <w:lang w:val="uk-UA"/>
              </w:rPr>
            </w:pPr>
            <w:r>
              <w:rPr>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tabs>
                <w:tab w:val="clear" w:pos="709"/>
                <w:tab w:val="left" w:pos="5606" w:leader="none"/>
              </w:tabs>
              <w:spacing w:before="0" w:after="0"/>
              <w:ind w:left="143" w:right="136" w:firstLine="283"/>
              <w:contextualSpacing/>
              <w:jc w:val="both"/>
              <w:rPr>
                <w:lang w:val="uk-UA"/>
              </w:rPr>
            </w:pPr>
            <w:r>
              <w:rPr>
                <w:color w:val="000000"/>
                <w:lang w:val="uk-UA"/>
              </w:rPr>
              <w:t>- заповненої та підписаної тендерної пропозиції за встановленою формою, зразок якої наведено у Додатку 2 до тендерної документації</w:t>
            </w:r>
          </w:p>
          <w:p>
            <w:pPr>
              <w:pStyle w:val="Normal"/>
              <w:ind w:left="143" w:right="136" w:firstLine="283"/>
              <w:jc w:val="both"/>
              <w:rPr>
                <w:color w:val="C9211E"/>
              </w:rPr>
            </w:pPr>
            <w:r>
              <w:rPr>
                <w:rFonts w:cs="Arial"/>
                <w:color w:val="000000"/>
              </w:rPr>
              <w:t xml:space="preserve">- інформації та документів, що підтверджують відповідність учасника кваліфікаційним критеріям;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інформації щодо наявності/відсутності підстав, установлених у статті 17 Закону, наданої у вигляді довідки (довідок) у довільній формі до тендерної документації;</w:t>
            </w:r>
          </w:p>
          <w:p>
            <w:pPr>
              <w:pStyle w:val="Normal"/>
              <w:ind w:left="143" w:right="136" w:firstLine="283"/>
              <w:jc w:val="both"/>
              <w:rPr>
                <w:color w:val="C9211E"/>
              </w:rPr>
            </w:pPr>
            <w:r>
              <w:rPr>
                <w:rFonts w:cs="Arial"/>
                <w:color w:val="000000"/>
              </w:rPr>
              <w:t>- інформації про необхідні технічні, якісні та кількісні характеристики предмета закупівлі (згідно з додатком № 1 до тендерної документації),</w:t>
            </w:r>
          </w:p>
          <w:p>
            <w:pPr>
              <w:pStyle w:val="Normal"/>
              <w:ind w:left="143" w:right="136" w:firstLine="283"/>
              <w:jc w:val="both"/>
              <w:rPr>
                <w:color w:val="C9211E"/>
              </w:rPr>
            </w:pPr>
            <w:r>
              <w:rPr>
                <w:rFonts w:cs="Arial"/>
                <w:color w:val="000000"/>
              </w:rPr>
              <w:t xml:space="preserve">- </w:t>
            </w:r>
            <w:r>
              <w:rPr>
                <w:color w:val="000000"/>
              </w:rPr>
              <w:t>копі</w:t>
            </w:r>
            <w:r>
              <w:rPr>
                <w:color w:val="000000"/>
                <w:lang w:val="uk-UA"/>
              </w:rPr>
              <w:t>ї</w:t>
            </w:r>
            <w:r>
              <w:rPr>
                <w:color w:val="000000"/>
              </w:rPr>
              <w:t xml:space="preserve"> 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pPr>
              <w:pStyle w:val="Normal"/>
              <w:ind w:left="143" w:right="136" w:firstLine="283"/>
              <w:jc w:val="both"/>
              <w:rPr>
                <w:color w:val="C9211E"/>
              </w:rPr>
            </w:pPr>
            <w:r>
              <w:rPr>
                <w:rFonts w:cs="Arial"/>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spacing w:lineRule="atLeast" w:line="240"/>
              <w:ind w:left="143" w:right="136" w:firstLine="283"/>
              <w:jc w:val="both"/>
              <w:rPr>
                <w:color w:val="C9211E"/>
              </w:rPr>
            </w:pPr>
            <w:r>
              <w:rPr>
                <w:rFonts w:eastAsia="Calibri"/>
                <w:color w:val="000000"/>
              </w:rPr>
              <w:t>- витяг</w:t>
            </w:r>
            <w:r>
              <w:rPr>
                <w:rFonts w:eastAsia="Calibri"/>
                <w:color w:val="000000"/>
                <w:lang w:val="uk-UA"/>
              </w:rPr>
              <w:t>у</w:t>
            </w:r>
            <w:r>
              <w:rPr>
                <w:rFonts w:eastAsia="Calibri"/>
                <w:color w:val="000000"/>
              </w:rPr>
              <w:t xml:space="preserve"> з Єдиного державного реєстру юридичних осіб та фізичних осіб – підприємців, сформован</w:t>
            </w:r>
            <w:r>
              <w:rPr>
                <w:rFonts w:eastAsia="Calibri"/>
                <w:color w:val="000000"/>
                <w:lang w:val="uk-UA"/>
              </w:rPr>
              <w:t>ого</w:t>
            </w:r>
            <w:r>
              <w:rPr>
                <w:rFonts w:eastAsia="Calibri"/>
                <w:color w:val="000000"/>
              </w:rPr>
              <w:t xml:space="preserve"> не раніше, ніж за місяць до надання пропозиції</w:t>
            </w:r>
            <w:r>
              <w:rPr>
                <w:rFonts w:eastAsia="Calibri"/>
                <w:color w:val="000000"/>
                <w:lang w:val="ru-RU"/>
              </w:rPr>
              <w:t>;</w:t>
            </w:r>
          </w:p>
          <w:p>
            <w:pPr>
              <w:pStyle w:val="Normal"/>
              <w:shd w:val="clear" w:color="auto" w:fill="FFFFFF"/>
              <w:spacing w:lineRule="exact" w:line="274" w:before="5" w:after="0"/>
              <w:ind w:left="143" w:right="136" w:firstLine="283"/>
              <w:jc w:val="both"/>
              <w:rPr>
                <w:color w:val="C9211E"/>
              </w:rPr>
            </w:pPr>
            <w:r>
              <w:rPr>
                <w:rFonts w:eastAsia="Calibri"/>
                <w:iCs/>
                <w:color w:val="000000"/>
              </w:rPr>
              <w:t>- підписаним проектом договору про закупівлю згідно з додатком 3 до цієї тендерної документації;</w:t>
            </w:r>
          </w:p>
          <w:p>
            <w:pPr>
              <w:pStyle w:val="Normal"/>
              <w:widowControl/>
              <w:tabs>
                <w:tab w:val="clear" w:pos="709"/>
                <w:tab w:val="left" w:pos="1440" w:leader="none"/>
              </w:tabs>
              <w:spacing w:lineRule="atLeast" w:line="240"/>
              <w:ind w:left="143" w:right="136" w:firstLine="283"/>
              <w:jc w:val="both"/>
              <w:rPr>
                <w:lang w:val="uk-UA"/>
              </w:rPr>
            </w:pPr>
            <w:r>
              <w:rPr>
                <w:rFonts w:cs="Arial"/>
                <w:color w:val="000000"/>
                <w:lang w:val="uk-UA"/>
              </w:rPr>
              <w:t>- інших документів, необхідність подання яких у складі тендерної пропозиції передбачена умовами цієї документації.</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1.2. Кожен учасник має право подати тільки одну тендерну пропозицію.</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spacing w:lineRule="atLeast" w:line="240"/>
              <w:ind w:left="143" w:right="136" w:firstLine="283"/>
              <w:jc w:val="both"/>
              <w:rPr>
                <w:color w:val="000000"/>
              </w:rPr>
            </w:pPr>
            <w:r>
              <w:rPr>
                <w:color w:val="000000"/>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eastAsia="Calibri" w:cs="Times New Roman" w:ascii="Times New Roman" w:hAnsi="Times New Roman"/>
                <w:color w:val="000000"/>
                <w:szCs w:val="24"/>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Pr>
                <w:rFonts w:cs="Times New Roman" w:ascii="Times New Roman" w:hAnsi="Times New Roman"/>
                <w:color w:val="000000"/>
                <w:szCs w:val="24"/>
              </w:rPr>
              <w:t>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26"/>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1.7. Для правильного оформлення тендерної пропозиції   учасник вивчає всі інструкції, форми, терміни та специфікації, наведені у цій тендерній документації.</w:t>
            </w:r>
          </w:p>
          <w:p>
            <w:pPr>
              <w:pStyle w:val="Normal"/>
              <w:ind w:left="143" w:right="136" w:firstLine="283"/>
              <w:jc w:val="both"/>
              <w:rPr>
                <w:color w:val="000000"/>
              </w:rPr>
            </w:pPr>
            <w:r>
              <w:rPr>
                <w:color w:val="000000"/>
              </w:rPr>
              <w:t xml:space="preserve">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pStyle w:val="Normal"/>
              <w:tabs>
                <w:tab w:val="clear" w:pos="709"/>
                <w:tab w:val="left" w:pos="177" w:leader="none"/>
              </w:tabs>
              <w:spacing w:lineRule="atLeast" w:line="240"/>
              <w:ind w:left="143" w:right="136" w:firstLine="283"/>
              <w:jc w:val="both"/>
              <w:rPr>
                <w:color w:val="000000"/>
              </w:rPr>
            </w:pPr>
            <w:r>
              <w:rPr>
                <w:color w:val="000000"/>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pPr>
              <w:pStyle w:val="26"/>
              <w:tabs>
                <w:tab w:val="clear" w:pos="709"/>
                <w:tab w:val="left" w:pos="175" w:leader="none"/>
              </w:tabs>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1.8.</w:t>
            </w:r>
            <w:r>
              <w:rPr>
                <w:rFonts w:cs="Times New Roman" w:ascii="Times New Roman" w:hAnsi="Times New Roman"/>
                <w:color w:val="FF0000"/>
                <w:szCs w:val="24"/>
              </w:rPr>
              <w:t xml:space="preserve"> </w:t>
            </w:r>
            <w:r>
              <w:rPr>
                <w:rFonts w:cs="Times New Roman" w:ascii="Times New Roman" w:hAnsi="Times New Roman"/>
                <w:color w:val="000000"/>
                <w:szCs w:val="24"/>
              </w:rPr>
              <w:t>Тендерна пропозиція може містити будь-які інші  документи, які бажає надати учасник.</w:t>
            </w:r>
          </w:p>
          <w:p>
            <w:pPr>
              <w:pStyle w:val="Normal"/>
              <w:spacing w:lineRule="atLeast" w:line="240"/>
              <w:ind w:left="143" w:right="136" w:firstLine="283"/>
              <w:jc w:val="both"/>
              <w:rPr>
                <w:color w:val="000000"/>
              </w:rPr>
            </w:pPr>
            <w:r>
              <w:rPr>
                <w:color w:val="000000"/>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spacing w:lineRule="atLeast" w:line="240"/>
              <w:ind w:left="143" w:right="136" w:firstLine="283"/>
              <w:jc w:val="both"/>
              <w:rPr>
                <w:color w:val="000000"/>
              </w:rPr>
            </w:pPr>
            <w:r>
              <w:rPr>
                <w:color w:val="000000"/>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spacing w:lineRule="atLeast" w:line="240"/>
              <w:ind w:left="143" w:right="136" w:firstLine="283"/>
              <w:jc w:val="both"/>
              <w:rPr>
                <w:color w:val="000000"/>
              </w:rPr>
            </w:pPr>
            <w:r>
              <w:rPr>
                <w:color w:val="000000"/>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spacing w:lineRule="atLeast" w:line="240"/>
              <w:ind w:left="143" w:right="136" w:firstLine="283"/>
              <w:jc w:val="both"/>
              <w:rPr>
                <w:color w:val="000000"/>
              </w:rPr>
            </w:pPr>
            <w:r>
              <w:rPr>
                <w:color w:val="000000"/>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pStyle w:val="Normal"/>
              <w:spacing w:lineRule="atLeast" w:line="240"/>
              <w:ind w:left="143" w:right="136" w:firstLine="283"/>
              <w:jc w:val="both"/>
              <w:rPr>
                <w:color w:val="000000"/>
              </w:rPr>
            </w:pPr>
            <w:r>
              <w:rPr>
                <w:color w:val="000000"/>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1.10.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right="113" w:firstLine="170"/>
              <w:rPr>
                <w:b/>
                <w:b/>
                <w:lang w:val="uk-UA"/>
              </w:rPr>
            </w:pPr>
            <w:r>
              <w:rPr>
                <w:b/>
                <w:bCs/>
              </w:rPr>
              <w:t>2.</w:t>
            </w:r>
          </w:p>
        </w:tc>
        <w:tc>
          <w:tcPr>
            <w:tcW w:w="2459" w:type="dxa"/>
            <w:tcBorders>
              <w:left w:val="single" w:sz="4" w:space="0" w:color="000000"/>
              <w:bottom w:val="single" w:sz="4" w:space="0" w:color="000000"/>
            </w:tcBorders>
            <w:shd w:color="auto" w:fill="FFFFFF" w:val="clear"/>
          </w:tcPr>
          <w:p>
            <w:pPr>
              <w:pStyle w:val="Normal"/>
              <w:spacing w:before="96" w:after="96"/>
              <w:ind w:left="113" w:right="113" w:hanging="0"/>
              <w:rPr>
                <w:lang w:val="uk-UA"/>
              </w:rPr>
            </w:pPr>
            <w:r>
              <w:rPr>
                <w:b/>
                <w:bCs/>
                <w:lang w:val="uk-UA"/>
              </w:rPr>
              <w:t>Опис та приклади формальних несуттєвих помилок</w:t>
            </w:r>
          </w:p>
        </w:tc>
        <w:tc>
          <w:tcPr>
            <w:tcW w:w="6521" w:type="dxa"/>
            <w:tcBorders>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color w:val="000000"/>
              </w:rPr>
            </w:pP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spacing w:before="0" w:after="0"/>
              <w:ind w:left="143" w:right="136" w:firstLine="283"/>
              <w:contextualSpacing/>
              <w:jc w:val="both"/>
              <w:rPr>
                <w:color w:val="000000"/>
              </w:rPr>
            </w:pPr>
            <w:r>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tabs>
                <w:tab w:val="clear" w:pos="709"/>
                <w:tab w:val="left" w:pos="1440" w:leader="none"/>
              </w:tabs>
              <w:spacing w:before="0" w:after="0"/>
              <w:ind w:left="143" w:right="136" w:firstLine="283"/>
              <w:contextualSpacing/>
              <w:jc w:val="both"/>
              <w:rPr>
                <w:color w:val="000000"/>
              </w:rPr>
            </w:pPr>
            <w:r>
              <w:rPr>
                <w:rFonts w:eastAsia="MS Mincho" w:cs="Arial"/>
                <w:bCs/>
                <w:color w:val="000000"/>
                <w:kern w:val="0"/>
                <w:lang w:val="uk-UA" w:eastAsia="ru-RU" w:bidi="ar-S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546"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xml:space="preserve">Замовником не вимагається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Умови повернення чи 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xml:space="preserve">Замовником не вимагається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bookmarkStart w:id="0" w:name="n1452"/>
            <w:bookmarkStart w:id="1" w:name="n1453"/>
            <w:bookmarkStart w:id="2" w:name="n1452"/>
            <w:bookmarkStart w:id="3" w:name="n1453"/>
            <w:bookmarkEnd w:id="2"/>
            <w:bookmarkEnd w:id="3"/>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5. 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rFonts w:eastAsia="MS Mincho"/>
                <w:bCs/>
                <w:color w:val="121212"/>
                <w:lang w:val="uk-UA"/>
              </w:rPr>
            </w:pPr>
            <w:r>
              <w:rPr>
                <w:b/>
                <w:lang w:val="uk-UA"/>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Тендерні пропозиції вважаються дійсними протягом 60 днів із дати кінцевого строку подання тендерних пропозицій, цей строк у разі необхідності, може бути продовжений.</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Учасник процедури закупівлі має право:</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відхилити таку вимогу;</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погодитися з вимогою та продовжити строк дії поданої ним тендерної пропозиції.</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28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80" w:right="113" w:hanging="0"/>
              <w:rPr>
                <w:b/>
                <w:b/>
                <w:lang w:val="uk-UA"/>
              </w:rPr>
            </w:pPr>
            <w:r>
              <w:rPr>
                <w:b/>
                <w:lang w:val="uk-UA"/>
              </w:rPr>
              <w:t xml:space="preserve">6.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57" w:hanging="0"/>
              <w:rPr>
                <w:rFonts w:eastAsia="MS Mincho"/>
                <w:bCs/>
                <w:color w:val="121212"/>
                <w:lang w:val="uk-UA"/>
              </w:rPr>
            </w:pPr>
            <w:r>
              <w:rPr>
                <w:rFonts w:eastAsia="MS Mincho"/>
                <w:b/>
                <w:bCs/>
                <w:color w:val="121212"/>
                <w:lang w:val="uk-UA"/>
              </w:rPr>
              <w:t>Кваліфікаційні критерії до учасників відповідно до статті 16 та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3" w:right="136" w:firstLine="283"/>
              <w:jc w:val="both"/>
              <w:rPr>
                <w:color w:val="FF0000"/>
              </w:rPr>
            </w:pPr>
            <w:r>
              <w:rPr>
                <w:rFonts w:eastAsia="Calibri"/>
                <w:color w:val="000000"/>
              </w:rPr>
              <w:t>6.1</w:t>
            </w:r>
            <w:r>
              <w:rPr>
                <w:rFonts w:eastAsia="Times New Roman"/>
                <w:color w:val="000000"/>
                <w:kern w:val="0"/>
                <w:lang w:val="uk-UA" w:eastAsia="ru-RU" w:bidi="ar-SA"/>
              </w:rPr>
              <w:t>.  Замовник вимагає від учасників подання ними документально підтвердженої інформації про їх відповідність кваліфікаційним критеріям, а саме:</w:t>
            </w:r>
          </w:p>
          <w:p>
            <w:pPr>
              <w:pStyle w:val="119"/>
              <w:tabs>
                <w:tab w:val="clear" w:pos="709"/>
                <w:tab w:val="left" w:pos="1440" w:leader="none"/>
              </w:tabs>
              <w:spacing w:before="0" w:after="0"/>
              <w:ind w:left="361" w:right="283" w:firstLine="142"/>
              <w:jc w:val="both"/>
              <w:rPr>
                <w:lang w:val="uk-UA"/>
              </w:rPr>
            </w:pPr>
            <w:r>
              <w:rPr>
                <w:lang w:val="uk-UA"/>
              </w:rPr>
              <w:t>1) наявність в учасника процедури закупівлі обладнання, матеріально-технічної бази та технологій;</w:t>
            </w:r>
          </w:p>
          <w:p>
            <w:pPr>
              <w:pStyle w:val="119"/>
              <w:tabs>
                <w:tab w:val="clear" w:pos="709"/>
                <w:tab w:val="left" w:pos="1440" w:leader="none"/>
              </w:tabs>
              <w:spacing w:before="0" w:after="0"/>
              <w:ind w:left="361" w:right="283" w:firstLine="142"/>
              <w:jc w:val="both"/>
              <w:rPr>
                <w:lang w:val="uk-UA"/>
              </w:rPr>
            </w:pPr>
            <w:r>
              <w:rPr>
                <w:lang w:val="uk-UA"/>
              </w:rPr>
              <w:t>2) наявність в учасника процедури закупівлі працівників відповідної кваліфікації, які мають необхідні знання та досвід;</w:t>
            </w:r>
          </w:p>
          <w:p>
            <w:pPr>
              <w:pStyle w:val="119"/>
              <w:tabs>
                <w:tab w:val="clear" w:pos="709"/>
                <w:tab w:val="left" w:pos="1440" w:leader="none"/>
              </w:tabs>
              <w:spacing w:before="0" w:after="0"/>
              <w:ind w:left="361" w:right="283" w:firstLine="142"/>
              <w:jc w:val="both"/>
              <w:rPr>
                <w:lang w:val="uk-UA"/>
              </w:rPr>
            </w:pPr>
            <w:r>
              <w:rPr>
                <w:lang w:val="uk-UA"/>
              </w:rPr>
              <w:t>3) наявність документально підтвердженого досвіду виконання аналогічного (аналогічних) за предметом закупівлі договору (договорів) (на підтвердження цієї вимоги учасник надає скан-копії договору (договорів), актів наданих послуг,  які свідчать про виконання зобов’язань учасника). Учасник надає лист-відгук від Замовника про виконання аналогічного договору. Лист повинен бути розміщений на фірмовому бланку (за наявності) із зазначенням дати, містити назву закупівлі та номер оголошення закупівлі.</w:t>
            </w:r>
          </w:p>
          <w:p>
            <w:pPr>
              <w:pStyle w:val="119"/>
              <w:tabs>
                <w:tab w:val="clear" w:pos="709"/>
                <w:tab w:val="left" w:pos="1440" w:leader="none"/>
              </w:tabs>
              <w:spacing w:before="0" w:after="0"/>
              <w:ind w:left="361" w:right="283" w:firstLine="142"/>
              <w:jc w:val="both"/>
              <w:rPr>
                <w:lang w:val="uk-UA"/>
              </w:rPr>
            </w:pPr>
            <w:r>
              <w:rPr>
                <w:lang w:val="uk-UA"/>
              </w:rPr>
              <w:t>4) наявність фінансової спроможності, яка підтверджується фінансовою звітністю.</w:t>
            </w:r>
          </w:p>
          <w:p>
            <w:pPr>
              <w:pStyle w:val="Normal"/>
              <w:ind w:left="143" w:right="136" w:firstLine="283"/>
              <w:jc w:val="both"/>
              <w:rPr>
                <w:color w:val="FF0000"/>
              </w:rPr>
            </w:pPr>
            <w:r>
              <w:rPr>
                <w:rFonts w:eastAsia="Times New Roman"/>
                <w:color w:val="000000"/>
                <w:kern w:val="0"/>
                <w:lang w:val="uk-UA" w:eastAsia="uk-UA" w:bidi="ar-SA"/>
              </w:rPr>
              <w:t>6.2. Для підтвердження відповідності учасника кваліфікаційним критеріям, останній повинен надати довідки у довільній формі у порядку згідно  п. 1.3 цієї документації та всі документи передбачені п.6.1 цієї документації.  </w:t>
            </w:r>
          </w:p>
          <w:p>
            <w:pPr>
              <w:pStyle w:val="Normal"/>
              <w:ind w:left="143" w:right="136" w:firstLine="283"/>
              <w:jc w:val="both"/>
              <w:rPr>
                <w:color w:val="000000"/>
              </w:rPr>
            </w:pPr>
            <w:r>
              <w:rPr>
                <w:color w:val="000000"/>
              </w:rPr>
              <w:t xml:space="preserve">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8"/>
                <w:szCs w:val="28"/>
                <w:lang w:eastAsia="en-US"/>
              </w:rPr>
              <w:t xml:space="preserve"> </w:t>
            </w:r>
            <w:r>
              <w:rPr>
                <w:color w:val="000000"/>
                <w:lang w:eastAsia="en-US"/>
              </w:rPr>
              <w:t>в електронній системі закупівель під час подання тендерної пропозиції</w:t>
            </w:r>
            <w:r>
              <w:rPr>
                <w:color w:val="000000"/>
              </w:rPr>
              <w:t>.</w:t>
            </w:r>
          </w:p>
          <w:p>
            <w:pPr>
              <w:pStyle w:val="Normal"/>
              <w:spacing w:lineRule="atLeast" w:line="240"/>
              <w:ind w:left="143" w:right="136" w:firstLine="283"/>
              <w:jc w:val="both"/>
              <w:rPr>
                <w:color w:val="000000"/>
              </w:rPr>
            </w:pPr>
            <w:r>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pPr>
              <w:pStyle w:val="Normal"/>
              <w:spacing w:lineRule="atLeast" w:line="240"/>
              <w:ind w:left="143" w:right="136" w:firstLine="283"/>
              <w:jc w:val="both"/>
              <w:rPr/>
            </w:pPr>
            <w:r>
              <w:rPr>
                <w:color w:val="000000"/>
              </w:rPr>
              <w:t>6.4.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w:t>
            </w:r>
            <w:bookmarkStart w:id="4" w:name="_GoBack"/>
            <w:bookmarkEnd w:id="4"/>
            <w:r>
              <w:rPr>
                <w:color w:val="000000"/>
              </w:rPr>
              <w:t xml:space="preserve"> Особливостей </w:t>
            </w:r>
            <w:r>
              <w:rPr>
                <w:strike/>
                <w:color w:val="000000"/>
              </w:rPr>
              <w:t xml:space="preserve"> -</w:t>
            </w:r>
            <w:r>
              <w:rPr>
                <w:color w:val="000000"/>
              </w:rPr>
              <w:t xml:space="preserve"> у формі довідки (зведеної довідки, інформації) в довільній формі, зміст якої(их) підтверджує відсутність відповідних підстав.</w:t>
            </w:r>
            <w:r>
              <w:rPr>
                <w:color w:val="FF0000"/>
              </w:rPr>
              <w:t xml:space="preserve"> </w:t>
            </w:r>
            <w:r>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pPr>
              <w:pStyle w:val="Normal"/>
              <w:spacing w:lineRule="atLeast" w:line="240"/>
              <w:ind w:left="143" w:right="136" w:firstLine="283"/>
              <w:jc w:val="both"/>
              <w:rPr/>
            </w:pPr>
            <w:r>
              <w:rPr/>
              <w:t>6.5.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pPr>
              <w:pStyle w:val="Normal"/>
              <w:spacing w:lineRule="atLeast" w:line="240"/>
              <w:ind w:left="143" w:right="136" w:firstLine="283"/>
              <w:jc w:val="both"/>
              <w:rPr/>
            </w:pPr>
            <w:r>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pPr>
              <w:pStyle w:val="Normal"/>
              <w:spacing w:lineRule="atLeast" w:line="240"/>
              <w:ind w:left="143" w:right="136" w:firstLine="283"/>
              <w:jc w:val="both"/>
              <w:rPr/>
            </w:pPr>
            <w:r>
              <w:rPr/>
              <w:t xml:space="preserve"> </w:t>
            </w:r>
            <w:r>
              <w:rPr/>
              <w:t>-</w:t>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pPr>
              <w:pStyle w:val="Normal"/>
              <w:spacing w:lineRule="atLeast" w:line="240"/>
              <w:ind w:left="143" w:right="136" w:firstLine="283"/>
              <w:jc w:val="both"/>
              <w:rPr/>
            </w:pPr>
            <w:r>
              <w:rPr/>
              <w:t>-</w:t>
              <w:tab/>
              <w:t>довідка, складена учасником у довільній формі, що підтверджує відсутність підстави, передбаченої пунктом 12 частини першої статті 17 Закону;</w:t>
            </w:r>
          </w:p>
          <w:p>
            <w:pPr>
              <w:pStyle w:val="Normal"/>
              <w:spacing w:lineRule="atLeast" w:line="240"/>
              <w:ind w:left="143" w:right="136" w:firstLine="283"/>
              <w:jc w:val="both"/>
              <w:rPr/>
            </w:pPr>
            <w:r>
              <w:rPr/>
              <w:t>-</w:t>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w:t>
            </w:r>
            <w:r>
              <w:rPr>
                <w:color w:val="000000"/>
              </w:rPr>
              <w:t>7 Закону.</w:t>
            </w:r>
          </w:p>
          <w:p>
            <w:pPr>
              <w:pStyle w:val="Normal"/>
              <w:spacing w:lineRule="atLeast" w:line="240"/>
              <w:ind w:left="143" w:right="136" w:firstLine="283"/>
              <w:jc w:val="both"/>
              <w:rPr>
                <w:strike/>
                <w:highlight w:val="yellow"/>
              </w:rPr>
            </w:pPr>
            <w:r>
              <w:rPr>
                <w:color w:val="000000"/>
              </w:rPr>
              <w:t>6.6.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ind w:right="141" w:firstLine="373"/>
              <w:jc w:val="both"/>
              <w:rPr/>
            </w:pPr>
            <w:r>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7. 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технічні, якісні та кількісні характеристики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Учасник процедури закупівлі повинен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предмета закупівлі встановлених замовником (Додаток 1 до тендерної документації) у формі довідки довільної форми, а також копії сертифікатів якості на товар та інші документи, що підтверджують технічні, якісні та кількісні характеристикам предмета закупівлі.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Якщо будь який з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Технічні, якісні характеристики предмета закупівлі та технічні специфікації до предмета закупівлі визначаються з урахуванням вимог, визначених частиною четвертою статті 5 Закону.</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 </w:t>
            </w:r>
            <w:r>
              <w:rPr>
                <w:rFonts w:cs="Times New Roman" w:ascii="Times New Roman" w:hAnsi="Times New Roman"/>
                <w:szCs w:val="24"/>
              </w:rPr>
              <w:t>У цій документації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1191"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8.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color w:val="00000A"/>
                <w:lang w:val="uk-UA"/>
              </w:rPr>
            </w:pPr>
            <w:r>
              <w:rPr>
                <w:b/>
                <w:lang w:val="uk-UA"/>
              </w:rPr>
              <w:t>Інформація про субпідрядника (у випадку закупівлі робіт або послуг)</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Предметом закупівлі є товар, тому Учасник самостійно здійснює його постачання, залучення субпідрядників не передбачається. </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9. 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Унесення змін або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 </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9645" w:type="dxa"/>
            <w:gridSpan w:val="4"/>
            <w:tcBorders>
              <w:top w:val="single" w:sz="4" w:space="0" w:color="000000"/>
              <w:left w:val="single" w:sz="4" w:space="0" w:color="000000"/>
              <w:bottom w:val="single" w:sz="4" w:space="0" w:color="000000"/>
            </w:tcBorders>
            <w:shd w:color="auto" w:fill="FFFFFF" w:val="clear"/>
          </w:tcPr>
          <w:p>
            <w:pPr>
              <w:pStyle w:val="26"/>
              <w:spacing w:lineRule="atLeast" w:line="240" w:before="113" w:after="113"/>
              <w:ind w:left="143" w:right="136" w:firstLine="283"/>
              <w:jc w:val="center"/>
              <w:rPr>
                <w:rFonts w:ascii="Times New Roman" w:hAnsi="Times New Roman" w:cs="Times New Roman"/>
                <w:b/>
                <w:b/>
                <w:szCs w:val="24"/>
              </w:rPr>
            </w:pPr>
            <w:r>
              <w:rPr>
                <w:rFonts w:cs="Times New Roman" w:ascii="Times New Roman" w:hAnsi="Times New Roman"/>
                <w:b/>
                <w:szCs w:val="24"/>
              </w:rPr>
              <w:t>ІV. Подання та розкриття тендерної пропозиції</w:t>
            </w:r>
          </w:p>
        </w:tc>
        <w:tc>
          <w:tcPr>
            <w:tcW w:w="30" w:type="dxa"/>
            <w:tcBorders>
              <w:left w:val="single" w:sz="4" w:space="0" w:color="000000"/>
            </w:tcBorders>
            <w:shd w:color="auto" w:fill="auto" w:val="clear"/>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rStyle w:val="Rvts0"/>
                <w:b/>
                <w:b/>
                <w:lang w:val="uk-UA"/>
              </w:rPr>
            </w:pPr>
            <w:r>
              <w:rPr>
                <w:b/>
                <w:lang w:val="uk-UA"/>
              </w:rPr>
              <w:t xml:space="preserve">1.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rStyle w:val="Rvts0"/>
                <w:b/>
                <w:lang w:val="uk-UA"/>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Кінцевий строк подання тендерних пропозицій </w:t>
            </w:r>
            <w:r>
              <w:rPr>
                <w:rFonts w:cs="Times New Roman" w:ascii="Times New Roman" w:hAnsi="Times New Roman"/>
                <w:b/>
                <w:bCs/>
                <w:color w:val="C9211E"/>
                <w:szCs w:val="24"/>
              </w:rPr>
              <w:t>10</w:t>
            </w:r>
            <w:r>
              <w:rPr>
                <w:rFonts w:eastAsia="Calibri" w:cs="Times New Roman" w:ascii="Times New Roman" w:hAnsi="Times New Roman"/>
                <w:b/>
                <w:bCs/>
                <w:color w:val="C9211E"/>
                <w:szCs w:val="24"/>
              </w:rPr>
              <w:t>.12.2</w:t>
            </w:r>
            <w:r>
              <w:rPr>
                <w:rFonts w:cs="Times New Roman" w:ascii="Times New Roman" w:hAnsi="Times New Roman"/>
                <w:b/>
                <w:bCs/>
                <w:color w:val="C9211E"/>
                <w:szCs w:val="24"/>
              </w:rPr>
              <w:t>022</w:t>
            </w:r>
            <w:r>
              <w:rPr>
                <w:rFonts w:cs="Times New Roman" w:ascii="Times New Roman" w:hAnsi="Times New Roman"/>
                <w:color w:val="C9211E"/>
                <w:szCs w:val="24"/>
              </w:rPr>
              <w:t>.</w:t>
            </w:r>
            <w:r>
              <w:rPr>
                <w:rFonts w:cs="Times New Roman" w:ascii="Times New Roman" w:hAnsi="Times New Roman"/>
                <w:szCs w:val="24"/>
              </w:rPr>
              <w:t xml:space="preserve"> Отримана тендерна пропозиція автоматично вноситься до реєстру.</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20"/>
              <w:widowControl w:val="false"/>
              <w:spacing w:lineRule="atLeast" w:line="240"/>
              <w:ind w:left="143" w:right="136" w:firstLine="283"/>
              <w:jc w:val="both"/>
              <w:rPr>
                <w:color w:val="000000"/>
                <w:szCs w:val="24"/>
                <w:lang w:val="uk-UA"/>
              </w:rPr>
            </w:pPr>
            <w:r>
              <w:rPr>
                <w:color w:val="000000"/>
                <w:szCs w:val="24"/>
                <w:lang w:val="uk-UA"/>
              </w:rPr>
              <w:t>Електронна система закупівель повинна забезпечити можливість подання тендерної пропозиції всім особам на рівних умовах.</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3" w:right="136" w:firstLine="283"/>
              <w:jc w:val="both"/>
              <w:rPr>
                <w:color w:val="000000"/>
              </w:rPr>
            </w:pPr>
            <w:r>
              <w:rPr>
                <w:color w:val="000000"/>
              </w:rPr>
              <w:t>2.1 Дата і час розкриття тендерних пропозицій</w:t>
            </w:r>
            <w:r>
              <w:rPr>
                <w:color w:val="000000"/>
                <w:highlight w:val="yellow"/>
              </w:rPr>
              <w:t xml:space="preserve"> </w:t>
            </w:r>
            <w:r>
              <w:rPr>
                <w:color w:val="000000"/>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pacing w:lineRule="atLeast" w:line="240"/>
              <w:ind w:left="143" w:right="136" w:firstLine="283"/>
              <w:jc w:val="both"/>
              <w:rPr>
                <w:color w:val="000000"/>
              </w:rPr>
            </w:pPr>
            <w:r>
              <w:rPr>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9645" w:type="dxa"/>
            <w:gridSpan w:val="4"/>
            <w:tcBorders>
              <w:top w:val="single" w:sz="4" w:space="0" w:color="000000"/>
              <w:left w:val="single" w:sz="4" w:space="0" w:color="000000"/>
              <w:bottom w:val="single" w:sz="4" w:space="0" w:color="000000"/>
            </w:tcBorders>
            <w:shd w:color="auto" w:fill="FFFFFF" w:val="clear"/>
          </w:tcPr>
          <w:p>
            <w:pPr>
              <w:pStyle w:val="26"/>
              <w:spacing w:lineRule="atLeast" w:line="240" w:before="113" w:after="113"/>
              <w:ind w:left="143" w:right="136" w:firstLine="283"/>
              <w:jc w:val="center"/>
              <w:rPr>
                <w:rFonts w:ascii="Times New Roman" w:hAnsi="Times New Roman" w:cs="Times New Roman"/>
                <w:b/>
                <w:b/>
                <w:szCs w:val="24"/>
              </w:rPr>
            </w:pPr>
            <w:r>
              <w:rPr>
                <w:rFonts w:cs="Times New Roman" w:ascii="Times New Roman" w:hAnsi="Times New Roman"/>
                <w:b/>
                <w:szCs w:val="24"/>
              </w:rPr>
              <w:t xml:space="preserve">V. Оцінка тендерної пропозиції </w:t>
            </w:r>
          </w:p>
        </w:tc>
        <w:tc>
          <w:tcPr>
            <w:tcW w:w="30" w:type="dxa"/>
            <w:tcBorders>
              <w:left w:val="single" w:sz="4" w:space="0" w:color="000000"/>
            </w:tcBorders>
            <w:shd w:color="auto" w:fill="auto" w:val="clear"/>
          </w:tcPr>
          <w:p>
            <w:pPr>
              <w:pStyle w:val="Normal"/>
              <w:snapToGrid w:val="false"/>
              <w:rPr>
                <w:b/>
                <w:b/>
                <w:lang w:val="uk-UA"/>
              </w:rPr>
            </w:pPr>
            <w:r>
              <w:rPr>
                <w:b/>
                <w:lang w:val="uk-UA"/>
              </w:rPr>
            </w:r>
          </w:p>
        </w:tc>
      </w:tr>
      <w:tr>
        <w:trPr>
          <w:trHeight w:val="1417"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1. 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Перелік критеріїв та методика оцінки тендерної пропозиції із зазначенням питомої ваги критерію</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tLeast" w:line="240" w:before="0" w:after="0"/>
              <w:ind w:left="143" w:right="136" w:firstLine="283"/>
              <w:contextualSpacing/>
              <w:jc w:val="both"/>
              <w:rPr/>
            </w:pPr>
            <w:r>
              <w:rPr>
                <w:color w:val="000000"/>
              </w:rPr>
              <w:t xml:space="preserve"> </w:t>
            </w:r>
            <w:r>
              <w:rPr>
                <w:color w:val="000000"/>
              </w:rPr>
              <w:t>Єдиним критерієм оцінки тендерних пропозицій є ціна з ПДВ.</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xml:space="preserve">Оцінка тендерних пропозицій проводиться автоматично електронною системою закупівель на основі одного критерію – ціна тендерної пропозиції і методики оцінки, та шляхом застосування електронного аукціону.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Ціна Пропозиції повинна:</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а) включати всі витрати на сплату усіх податків та зборів, що сплачуються або мають бути сплачені згідно з чинним законодавством України;</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б) бути визначена на момент подання тендерної пропозиції;</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в) бути визначена з урахуванням чинного законодавства України;</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г) не включати витрати на оплату консультаційних послуг та документальне супроводження результатів торгів;</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 xml:space="preserve">д) включати витрати, пов’язані з перевезенням товару та страхуванням, транспортом та за рахунок Постачальника.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Ціна Пропозиції має бути визначена чітко та остаточно без будь-яких посилань, обмежень або застережень.</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Учасник відповідає за одержання всіх необхідних дозволів, сертифікатів (у тому числі експортних та імпортних) на товар, запропонований на торги, та самостійно несе всі витрати на отримання таких дозволів, ліцензій, сертифікатів.</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Методика оцінки</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Оцінка тендерних пропозицій проводиться за цінами тендерних пропозицій.</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Найбільш економічно вигідною тендерною пропозицією визнається така, ціна якої є найнижча за результатами проведення електронного аукціону.</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pPr>
              <w:pStyle w:val="26"/>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 xml:space="preserve">Замовник та Учасники не можуть ініціювати будь-які переговори з питань внесення змін до змісту або ціни поданої тендерної пропозиції відкритих торгів. </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2.</w:t>
            </w:r>
          </w:p>
        </w:tc>
        <w:tc>
          <w:tcPr>
            <w:tcW w:w="2459" w:type="dxa"/>
            <w:tcBorders>
              <w:top w:val="single" w:sz="4" w:space="0" w:color="000000"/>
              <w:left w:val="single" w:sz="4" w:space="0" w:color="000000"/>
              <w:bottom w:val="single" w:sz="4" w:space="0" w:color="000000"/>
            </w:tcBorders>
            <w:shd w:color="auto" w:fill="FFFFFF" w:val="clear"/>
          </w:tcPr>
          <w:p>
            <w:pPr>
              <w:pStyle w:val="Normal"/>
              <w:tabs>
                <w:tab w:val="clear" w:pos="709"/>
                <w:tab w:val="left" w:pos="765" w:leader="none"/>
              </w:tabs>
              <w:spacing w:before="96" w:after="96"/>
              <w:ind w:left="108" w:right="113" w:hanging="0"/>
              <w:rPr>
                <w:b/>
                <w:b/>
                <w:lang w:val="uk-UA"/>
              </w:rPr>
            </w:pPr>
            <w:r>
              <w:rPr>
                <w:b/>
                <w:bCs/>
                <w:color w:val="000000"/>
                <w:lang w:val="uk-UA"/>
              </w:rPr>
              <w:t>Виправлення арифметичних помилок </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pPr>
            <w:r>
              <w:rPr>
                <w:lang w:val="uk-UA"/>
              </w:rPr>
              <w:t xml:space="preserve">2.1. </w:t>
            </w:r>
            <w:r>
              <w:rPr/>
              <w:t>Арифметичні помилки виправляються замовником у такій послідовності:</w:t>
            </w:r>
          </w:p>
          <w:p>
            <w:pPr>
              <w:pStyle w:val="Normal"/>
              <w:spacing w:before="0" w:after="0"/>
              <w:ind w:left="143" w:right="136" w:firstLine="283"/>
              <w:contextualSpacing/>
              <w:jc w:val="both"/>
              <w:rPr/>
            </w:pPr>
            <w:r>
              <w:rPr/>
              <w:t>а) при розходженні між сумами, літерами та в цифрах, сума літерами є визначальною;</w:t>
            </w:r>
          </w:p>
          <w:p>
            <w:pPr>
              <w:pStyle w:val="Normal"/>
              <w:spacing w:before="0" w:after="0"/>
              <w:ind w:left="143" w:right="136" w:firstLine="283"/>
              <w:contextualSpacing/>
              <w:jc w:val="both"/>
              <w:rPr/>
            </w:pPr>
            <w:r>
              <w:rPr/>
              <w:t xml:space="preserve"> </w:t>
            </w:r>
            <w:r>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pPr>
              <w:pStyle w:val="Normal"/>
              <w:spacing w:before="0" w:after="0"/>
              <w:ind w:left="143" w:right="136" w:firstLine="283"/>
              <w:contextualSpacing/>
              <w:jc w:val="both"/>
              <w:rPr/>
            </w:pPr>
            <w:r>
              <w:rPr/>
              <w:t>в) при розходженні між підсумковою ціною тендерної пропозиції, зазначеної у тендерній пропозиції та отриманою шляхом додавання елементів ціни, та підсумковою ціною тендерної пропозиції, отриманою при перевірці пропозиції шляхом додавання замовником елементів ціни, визначальною є фактична сума ціни тендерної пропозиції, отримана шляхом додавання елементів ціни замовником при перевірці.</w:t>
            </w:r>
          </w:p>
          <w:p>
            <w:pPr>
              <w:pStyle w:val="Normal"/>
              <w:spacing w:before="0" w:after="0"/>
              <w:ind w:left="143" w:right="136" w:firstLine="283"/>
              <w:contextualSpacing/>
              <w:jc w:val="both"/>
              <w:rPr/>
            </w:pPr>
            <w:r>
              <w:rPr/>
              <w:t>2.2 Замовник має право на виправлення арифметичних помилок, виявлених у поданій тендерній пропозиції під час розгляду тендерних пропозицій, за умови отримання письмової згоди учасника, який подав пропозицію, на таке виправлення.</w:t>
            </w:r>
          </w:p>
          <w:p>
            <w:pPr>
              <w:pStyle w:val="Normal"/>
              <w:spacing w:before="0" w:after="0"/>
              <w:ind w:left="143" w:right="136" w:firstLine="283"/>
              <w:contextualSpacing/>
              <w:jc w:val="both"/>
              <w:rPr/>
            </w:pPr>
            <w:r>
              <w:rPr/>
              <w:t xml:space="preserve">2.3 </w:t>
            </w:r>
            <w:r>
              <w:rPr>
                <w:lang w:val="ru-RU"/>
              </w:rPr>
              <w:t>Якщо учасник не згоден з виправленням арифметичних помилок, його пропозиція відхиляється</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 xml:space="preserve"> </w:t>
            </w:r>
            <w:r>
              <w:rPr>
                <w:b/>
                <w:lang w:val="uk-UA"/>
              </w:rPr>
              <w:t>3.</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 xml:space="preserve"> </w:t>
            </w:r>
            <w:r>
              <w:rPr>
                <w:b/>
                <w:lang w:val="uk-UA"/>
              </w:rPr>
              <w:t>Інша інформація</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pPr>
            <w:r>
              <w:rPr>
                <w:rFonts w:eastAsia="Times New Roman"/>
                <w:lang w:val="uk-UA"/>
              </w:rPr>
              <w:t>3</w:t>
            </w:r>
            <w:r>
              <w:rPr>
                <w:rFonts w:eastAsia="Calibri"/>
              </w:rPr>
              <w:t xml:space="preserve">.1. </w:t>
            </w:r>
            <w:r>
              <w:rPr>
                <w:rFonts w:eastAsia="Calibri"/>
                <w:lang w:val="ru-RU"/>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spacing w:before="0" w:after="0"/>
              <w:ind w:left="143" w:right="136" w:firstLine="283"/>
              <w:contextualSpacing/>
              <w:jc w:val="both"/>
              <w:rPr/>
            </w:pPr>
            <w:r>
              <w:rPr>
                <w:rFonts w:eastAsia="Times New Roman"/>
                <w:lang w:val="uk-UA"/>
              </w:rPr>
              <w:t>3.2</w:t>
            </w:r>
            <w:r>
              <w:rPr>
                <w:rFonts w:eastAsia="Calibri"/>
              </w:rPr>
              <w:t xml:space="preserve">. </w:t>
            </w:r>
            <w:r>
              <w:rPr>
                <w:rFonts w:eastAsia="Calibri"/>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spacing w:before="0" w:after="0"/>
              <w:ind w:left="143" w:right="136" w:firstLine="283"/>
              <w:contextualSpacing/>
              <w:jc w:val="both"/>
              <w:rPr/>
            </w:pPr>
            <w:r>
              <w:rPr/>
              <w:t>3.</w:t>
            </w:r>
            <w:r>
              <w:rPr>
                <w:lang w:val="uk-UA"/>
              </w:rPr>
              <w:t>3.</w:t>
            </w:r>
            <w:r>
              <w:rPr>
                <w:rFonts w:eastAsia="Calibri"/>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spacing w:before="0" w:after="0"/>
              <w:ind w:left="143" w:right="136" w:firstLine="283"/>
              <w:contextualSpacing/>
              <w:jc w:val="both"/>
              <w:rPr/>
            </w:pPr>
            <w:r>
              <w:rPr>
                <w:rFonts w:eastAsia="Calibri"/>
              </w:rPr>
              <w:t>3.4. Відповідальність за достовірність наданої інформації в своїй пропозиції несе учасник.</w:t>
            </w:r>
          </w:p>
          <w:p>
            <w:pPr>
              <w:pStyle w:val="Normal"/>
              <w:spacing w:before="0" w:after="0"/>
              <w:ind w:left="143" w:right="136" w:firstLine="283"/>
              <w:contextualSpacing/>
              <w:jc w:val="both"/>
              <w:rPr/>
            </w:pPr>
            <w:r>
              <w:rPr>
                <w:rFonts w:eastAsia="Calibri"/>
              </w:rPr>
              <w:t>3.</w:t>
            </w:r>
            <w:r>
              <w:rPr>
                <w:rFonts w:eastAsia="Calibri"/>
                <w:lang w:val="uk-UA"/>
              </w:rPr>
              <w:t xml:space="preserve">5. </w:t>
            </w:r>
            <w:r>
              <w:rPr>
                <w:color w:val="000000"/>
              </w:rPr>
              <w:t>Відповідальність за достовірність наданої інформації в тендерній пропозиції несе учасник, а в документах, наданих замовнику переможцем торгів - переможець.</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bCs/>
                <w:lang w:val="uk-UA"/>
              </w:rPr>
              <w:t xml:space="preserve">4. </w:t>
            </w:r>
          </w:p>
        </w:tc>
        <w:tc>
          <w:tcPr>
            <w:tcW w:w="2459" w:type="dxa"/>
            <w:tcBorders>
              <w:left w:val="single" w:sz="4" w:space="0" w:color="000000"/>
              <w:bottom w:val="single" w:sz="4" w:space="0" w:color="000000"/>
            </w:tcBorders>
            <w:shd w:color="auto" w:fill="FFFFFF" w:val="clear"/>
          </w:tcPr>
          <w:p>
            <w:pPr>
              <w:pStyle w:val="NormalWeb"/>
              <w:spacing w:before="0" w:after="0"/>
              <w:ind w:left="170" w:right="113" w:hanging="0"/>
              <w:rPr>
                <w:rFonts w:ascii="Times New Roman" w:hAnsi="Times New Roman" w:eastAsia="Andale Sans UI"/>
                <w:b/>
                <w:b/>
                <w:lang w:val="uk-UA"/>
              </w:rPr>
            </w:pPr>
            <w:r>
              <w:rPr>
                <w:rFonts w:eastAsia="Andale Sans UI" w:ascii="Times New Roman" w:hAnsi="Times New Roman"/>
                <w:b/>
                <w:lang w:val="uk-UA"/>
              </w:rPr>
              <w:t>Розгляд тендерної пропозиції з аномально низькою ціною</w:t>
            </w:r>
          </w:p>
          <w:p>
            <w:pPr>
              <w:pStyle w:val="Normal"/>
              <w:spacing w:before="96" w:after="96"/>
              <w:ind w:left="113" w:right="113" w:hanging="0"/>
              <w:rPr>
                <w:b/>
                <w:b/>
                <w:color w:val="000000"/>
                <w:lang w:val="uk-UA" w:eastAsia="uk-UA"/>
              </w:rPr>
            </w:pPr>
            <w:r>
              <w:rPr>
                <w:b/>
                <w:color w:val="000000"/>
                <w:lang w:val="uk-UA" w:eastAsia="uk-UA"/>
              </w:rPr>
            </w:r>
          </w:p>
        </w:tc>
        <w:tc>
          <w:tcPr>
            <w:tcW w:w="6521" w:type="dxa"/>
            <w:tcBorders>
              <w:left w:val="single" w:sz="4" w:space="0" w:color="000000"/>
              <w:bottom w:val="single" w:sz="4" w:space="0" w:color="000000"/>
              <w:right w:val="single" w:sz="4" w:space="0" w:color="000000"/>
            </w:tcBorders>
            <w:shd w:color="auto" w:fill="FFFFFF" w:val="clear"/>
          </w:tcPr>
          <w:p>
            <w:pPr>
              <w:pStyle w:val="Style30"/>
              <w:ind w:left="143" w:right="136" w:firstLine="283"/>
              <w:jc w:val="both"/>
              <w:rPr/>
            </w:pPr>
            <w:r>
              <w:rPr>
                <w:lang w:val="uk-UA"/>
              </w:rPr>
              <w:t xml:space="preserve">4.1. </w:t>
            </w:r>
            <w: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Style30"/>
              <w:ind w:left="143" w:right="136" w:firstLine="283"/>
              <w:jc w:val="both"/>
              <w:rPr/>
            </w:pPr>
            <w:r>
              <w:rPr>
                <w:color w:val="000000"/>
                <w:lang w:val="uk-UA"/>
              </w:rPr>
              <w:t xml:space="preserve">4.2. </w:t>
            </w: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Style30"/>
              <w:ind w:left="143" w:right="136" w:firstLine="283"/>
              <w:jc w:val="both"/>
              <w:rPr>
                <w:color w:val="000000"/>
              </w:rPr>
            </w:pPr>
            <w:r>
              <w:rPr>
                <w:color w:val="000000"/>
                <w:lang w:val="uk-UA"/>
              </w:rPr>
              <w:t xml:space="preserve">4.3. </w:t>
            </w:r>
            <w:r>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pPr>
              <w:pStyle w:val="Style30"/>
              <w:spacing w:before="0" w:after="0"/>
              <w:ind w:left="143" w:right="136" w:firstLine="283"/>
              <w:jc w:val="both"/>
              <w:rPr/>
            </w:pPr>
            <w:r>
              <w:rPr>
                <w:color w:val="000000"/>
                <w:lang w:val="uk-UA"/>
              </w:rPr>
              <w:t xml:space="preserve">4.4. </w:t>
            </w:r>
            <w:r>
              <w:rPr>
                <w:color w:val="000000"/>
              </w:rPr>
              <w:t>Обґрунтування аномально низької тендерної пропозиції може містити інформацію про:</w:t>
            </w:r>
          </w:p>
          <w:p>
            <w:pPr>
              <w:pStyle w:val="Style30"/>
              <w:spacing w:before="0" w:after="0"/>
              <w:ind w:left="143" w:right="136" w:firstLine="283"/>
              <w:jc w:val="both"/>
              <w:rPr/>
            </w:pPr>
            <w:r>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Style30"/>
              <w:spacing w:before="0" w:after="0"/>
              <w:ind w:left="143" w:right="136" w:firstLine="283"/>
              <w:jc w:val="both"/>
              <w:rPr/>
            </w:pPr>
            <w:r>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Style30"/>
              <w:spacing w:before="0" w:after="0"/>
              <w:ind w:left="143" w:right="136" w:firstLine="283"/>
              <w:jc w:val="both"/>
              <w:rPr/>
            </w:pPr>
            <w:r>
              <w:rPr>
                <w:color w:val="000000"/>
              </w:rPr>
              <w:t>3) отримання учасником державної допомоги згідно із законодавством.</w:t>
            </w:r>
          </w:p>
          <w:p>
            <w:pPr>
              <w:pStyle w:val="Style30"/>
              <w:spacing w:before="0" w:after="0"/>
              <w:ind w:left="143" w:right="136" w:firstLine="283"/>
              <w:jc w:val="both"/>
              <w:rPr/>
            </w:pPr>
            <w:r>
              <w:rPr>
                <w:bCs/>
                <w:lang w:val="uk-UA" w:eastAsia="en-US"/>
              </w:rPr>
              <w:t>4</w:t>
            </w:r>
            <w:r>
              <w:rPr>
                <w:bCs/>
                <w:lang w:eastAsia="en-US"/>
              </w:rPr>
              <w:t xml:space="preserve">.5 </w:t>
            </w:r>
            <w:r>
              <w:rPr>
                <w:rFonts w:cs="Tahoma"/>
                <w:lang w:eastAsia="en-US"/>
              </w:rPr>
              <w:t xml:space="preserve"> Переможець надає замовнику документи (iнформацiю), вказані в даному пункті тендерної документації, шляхом завантаження таких документів (інформації) через електронну систему закупівель.</w:t>
            </w:r>
          </w:p>
          <w:p>
            <w:pPr>
              <w:pStyle w:val="Style30"/>
              <w:spacing w:before="0" w:after="0"/>
              <w:ind w:left="143" w:right="136" w:firstLine="283"/>
              <w:jc w:val="both"/>
              <w:rPr/>
            </w:pPr>
            <w:r>
              <w:rPr>
                <w:rFonts w:eastAsia="Times New Roman"/>
                <w:lang w:val="uk-UA" w:eastAsia="uk-UA"/>
              </w:rPr>
              <w:t>4</w:t>
            </w:r>
            <w:r>
              <w:rPr>
                <w:rFonts w:eastAsia="Andale Sans UI;Times New Roman" w:cs="Tahoma"/>
                <w:lang w:val="uk-UA" w:eastAsia="uk-UA"/>
              </w:rPr>
              <w:t>.6 Учасник самостійно відповідає за отримання будь-яких та всім необхідних дозволів, документів відповідно закупівлі та самостійно несе всі витрати на отримання таких документів</w:t>
            </w:r>
            <w:r>
              <w:rPr>
                <w:rFonts w:eastAsia="Andale Sans UI;Times New Roman" w:cs="Tahoma"/>
                <w:color w:val="000000"/>
                <w:lang w:val="uk-UA" w:eastAsia="ru-RU"/>
              </w:rPr>
              <w:t>.</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bCs/>
                <w:lang w:val="uk-UA"/>
              </w:rPr>
              <w:t>5.</w:t>
            </w:r>
          </w:p>
        </w:tc>
        <w:tc>
          <w:tcPr>
            <w:tcW w:w="2459" w:type="dxa"/>
            <w:tcBorders>
              <w:left w:val="single" w:sz="4" w:space="0" w:color="000000"/>
              <w:bottom w:val="single" w:sz="4" w:space="0" w:color="000000"/>
            </w:tcBorders>
            <w:shd w:color="auto" w:fill="FFFFFF" w:val="clear"/>
          </w:tcPr>
          <w:p>
            <w:pPr>
              <w:pStyle w:val="Normal"/>
              <w:spacing w:before="96" w:after="96"/>
              <w:ind w:left="113" w:right="113" w:hanging="0"/>
              <w:rPr>
                <w:b/>
                <w:b/>
                <w:bCs/>
                <w:color w:val="000000"/>
                <w:lang w:val="ru-RU"/>
              </w:rPr>
            </w:pPr>
            <w:r>
              <w:rPr>
                <w:b/>
                <w:bCs/>
                <w:color w:val="000000"/>
                <w:lang w:val="ru-RU"/>
              </w:rPr>
              <w:t>Усунення невідповідностей</w:t>
            </w:r>
          </w:p>
        </w:tc>
        <w:tc>
          <w:tcPr>
            <w:tcW w:w="6521" w:type="dxa"/>
            <w:tcBorders>
              <w:left w:val="single" w:sz="4" w:space="0" w:color="000000"/>
              <w:bottom w:val="single" w:sz="4" w:space="0" w:color="000000"/>
              <w:right w:val="single" w:sz="4" w:space="0" w:color="000000"/>
            </w:tcBorders>
            <w:shd w:color="auto" w:fill="FFFFFF" w:val="clear"/>
          </w:tcPr>
          <w:p>
            <w:pPr>
              <w:pStyle w:val="Style30"/>
              <w:spacing w:before="0" w:after="0"/>
              <w:ind w:left="143" w:right="136" w:firstLine="283"/>
              <w:jc w:val="both"/>
              <w:rPr>
                <w:color w:val="FF0000"/>
                <w:lang w:val="uk-UA"/>
              </w:rPr>
            </w:pPr>
            <w:r>
              <w:rPr>
                <w:color w:val="000000"/>
                <w:lang w:val="uk-UA"/>
              </w:rPr>
              <w:t>5</w:t>
            </w:r>
            <w:r>
              <w:rPr>
                <w:color w:val="000000"/>
              </w:rPr>
              <w:t>.1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spacing w:before="0" w:after="0"/>
              <w:ind w:left="143" w:right="136" w:firstLine="283"/>
              <w:contextualSpacing/>
              <w:jc w:val="both"/>
              <w:rPr>
                <w:rFonts w:cs="Arial"/>
                <w:color w:val="FF0000"/>
                <w:lang w:val="uk-UA"/>
              </w:rPr>
            </w:pPr>
            <w:r>
              <w:rPr>
                <w:rFonts w:cs="Arial"/>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Style30"/>
              <w:spacing w:before="0" w:after="0"/>
              <w:ind w:left="143" w:right="136" w:firstLine="283"/>
              <w:jc w:val="both"/>
              <w:rPr/>
            </w:pPr>
            <w:r>
              <w:rPr>
                <w:color w:val="000000"/>
                <w:lang w:val="uk-UA"/>
              </w:rPr>
              <w:t>5</w:t>
            </w:r>
            <w:r>
              <w:rPr>
                <w:color w:val="000000"/>
              </w:rPr>
              <w:t>.2 Замовник розміщує повідомлення з вимогою про усунення невідповідностей в інформації та/або документах:</w:t>
            </w:r>
          </w:p>
          <w:p>
            <w:pPr>
              <w:pStyle w:val="Style30"/>
              <w:spacing w:before="0" w:after="0"/>
              <w:ind w:left="143" w:right="136" w:firstLine="283"/>
              <w:jc w:val="both"/>
              <w:rPr/>
            </w:pPr>
            <w:r>
              <w:rPr>
                <w:color w:val="000000"/>
              </w:rPr>
              <w:t>1) що підтверджують відповідність учасника процедури закупівлі кваліфікаційним критеріям відповідно до статті 16 Закону;</w:t>
            </w:r>
          </w:p>
          <w:p>
            <w:pPr>
              <w:pStyle w:val="Style30"/>
              <w:spacing w:before="0" w:after="0"/>
              <w:ind w:left="143" w:right="136" w:firstLine="283"/>
              <w:jc w:val="both"/>
              <w:rPr/>
            </w:pPr>
            <w:r>
              <w:rPr>
                <w:color w:val="000000"/>
              </w:rPr>
              <w:t>2) на підтвердження права підпису тендерної пропозиції та/або договору про закупівлю.</w:t>
            </w:r>
          </w:p>
          <w:p>
            <w:pPr>
              <w:pStyle w:val="Style30"/>
              <w:spacing w:before="0" w:after="0"/>
              <w:ind w:left="143" w:right="136" w:firstLine="283"/>
              <w:jc w:val="both"/>
              <w:rPr/>
            </w:pPr>
            <w:r>
              <w:rPr>
                <w:color w:val="000000"/>
                <w:lang w:val="uk-UA"/>
              </w:rPr>
              <w:t>5</w:t>
            </w:r>
            <w:r>
              <w:rPr>
                <w:color w:val="000000"/>
              </w:rPr>
              <w:t>.3 Повідомлення з вимогою про усунення невідповідностей повинно містити наступну інформацію:</w:t>
            </w:r>
          </w:p>
          <w:p>
            <w:pPr>
              <w:pStyle w:val="Style30"/>
              <w:spacing w:before="0" w:after="0"/>
              <w:ind w:left="143" w:right="136" w:firstLine="283"/>
              <w:jc w:val="both"/>
              <w:rPr/>
            </w:pPr>
            <w:r>
              <w:rPr>
                <w:color w:val="000000"/>
              </w:rPr>
              <w:t>1) перелік виявлених невідповідностей;</w:t>
            </w:r>
          </w:p>
          <w:p>
            <w:pPr>
              <w:pStyle w:val="Style30"/>
              <w:spacing w:before="0" w:after="0"/>
              <w:ind w:left="143" w:right="136" w:firstLine="283"/>
              <w:jc w:val="both"/>
              <w:rPr/>
            </w:pPr>
            <w:r>
              <w:rPr>
                <w:color w:val="000000"/>
              </w:rPr>
              <w:t>2) посилання на вимогу (вимоги) тендерної документації, щодо яких виявлені невідповідності;</w:t>
            </w:r>
          </w:p>
          <w:p>
            <w:pPr>
              <w:pStyle w:val="Style30"/>
              <w:spacing w:before="0" w:after="0"/>
              <w:ind w:left="143" w:right="136" w:firstLine="283"/>
              <w:jc w:val="both"/>
              <w:rPr/>
            </w:pPr>
            <w:r>
              <w:rPr>
                <w:color w:val="000000"/>
              </w:rPr>
              <w:t>3) перелік інформації та/або документів, які повинен подати учасник для усунення виявлених невідповідностей.</w:t>
            </w:r>
          </w:p>
          <w:p>
            <w:pPr>
              <w:pStyle w:val="Style30"/>
              <w:spacing w:before="0" w:after="0"/>
              <w:ind w:left="143" w:right="136" w:firstLine="283"/>
              <w:jc w:val="both"/>
              <w:rPr>
                <w:color w:val="FF0000"/>
                <w:lang w:val="uk-UA"/>
              </w:rPr>
            </w:pPr>
            <w:r>
              <w:rPr>
                <w:color w:val="000000"/>
                <w:lang w:val="uk-UA"/>
              </w:rPr>
              <w:t>5</w:t>
            </w:r>
            <w:r>
              <w:rPr>
                <w:color w:val="000000"/>
              </w:rPr>
              <w:t>.4</w:t>
            </w:r>
            <w:r>
              <w:rPr>
                <w:color w:val="000000"/>
                <w:lang w:val="uk-UA"/>
              </w:rPr>
              <w:t xml:space="preserve">. </w:t>
            </w: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color w:val="000000"/>
                <w:lang w:val="uk-UA"/>
              </w:rPr>
              <w:t>.</w:t>
            </w:r>
          </w:p>
          <w:p>
            <w:pPr>
              <w:pStyle w:val="Style30"/>
              <w:spacing w:before="0" w:after="0"/>
              <w:ind w:left="143" w:right="136" w:firstLine="283"/>
              <w:jc w:val="both"/>
              <w:rPr/>
            </w:pPr>
            <w:r>
              <w:rPr>
                <w:color w:val="000000"/>
                <w:lang w:val="uk-UA"/>
              </w:rPr>
              <w:t>5</w:t>
            </w:r>
            <w:r>
              <w:rPr>
                <w:color w:val="000000"/>
              </w:rPr>
              <w:t>.5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30"/>
              <w:spacing w:before="0" w:after="0"/>
              <w:ind w:left="143" w:right="136" w:firstLine="283"/>
              <w:jc w:val="both"/>
              <w:rPr>
                <w:lang w:val="uk-UA"/>
              </w:rPr>
            </w:pPr>
            <w:r>
              <w:rPr>
                <w:color w:val="000000"/>
                <w:lang w:val="uk-UA"/>
              </w:rPr>
              <w:t>5</w:t>
            </w:r>
            <w:r>
              <w:rPr>
                <w:color w:val="000000"/>
              </w:rPr>
              <w:t>.6 Замовник розглядає подані тендерні пропозиції з урахуванням виправлення або не виправлення учасниками виявлених невідповідностей.</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6.</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b/>
                <w:color w:val="000000"/>
                <w:lang w:val="uk-UA"/>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6.1. Замовник відхиляє тендерну пропозицію із зазначенням аргументації в електронній системі закупівель у разі, коли:</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 учасник процедури закупівлі:</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визначив конфіденційною інформацію, що не може бути визначена як конфіденційна відповідно до вимог частини другої статті 28 Закону;</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2) тендерна пропозиція:</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відповідає умовам технічної специфікації та іншим вимогам щодо предмета закупівлі тендерної документації;</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викладена іншою мовою (мовами), ніж мова (мови), що передбачена тендерною документацією;</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строк дії якої закінчився;</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відповідає вимогам, установленим у тендерній документації відповідно до абзацу першого частини третьої статті 22 Закону;</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3) переможець процедури закупівлі:</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копію ліцензії або документа дозвільного характеру (у разі їх наявності) відповідно до частини другої статті 41 Закону;</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забезпечення виконання договору про закупівлю, якщо таке забезпечення вимагалося замовником;</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6.2. Замовник може відхилити тендерну пропозицію із зазначенням аргументації в електронній системі закупівель у разі, коли:</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ind w:left="143" w:right="136" w:firstLine="283"/>
              <w:jc w:val="both"/>
              <w:rPr>
                <w:color w:val="FF0000"/>
                <w:lang w:val="uk-UA"/>
              </w:rPr>
            </w:pPr>
            <w:r>
              <w:rPr>
                <w:rFonts w:eastAsia="Arial" w:cs="Arial"/>
                <w:color w:val="000000"/>
                <w:kern w:val="0"/>
                <w:lang w:val="uk-UA" w:eastAsia="ru-RU" w:bidi="ar-SA"/>
              </w:rPr>
              <w:t>6.4.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9645" w:type="dxa"/>
            <w:gridSpan w:val="4"/>
            <w:tcBorders>
              <w:top w:val="single" w:sz="4" w:space="0" w:color="000000"/>
              <w:left w:val="single" w:sz="4" w:space="0" w:color="000000"/>
              <w:bottom w:val="single" w:sz="4" w:space="0" w:color="000000"/>
            </w:tcBorders>
            <w:shd w:color="auto" w:fill="FFFFFF" w:val="clear"/>
          </w:tcPr>
          <w:p>
            <w:pPr>
              <w:pStyle w:val="26"/>
              <w:spacing w:lineRule="atLeast" w:line="240" w:before="113" w:after="113"/>
              <w:ind w:left="143" w:right="136" w:firstLine="283"/>
              <w:jc w:val="center"/>
              <w:rPr>
                <w:rFonts w:ascii="Times New Roman" w:hAnsi="Times New Roman" w:cs="Times New Roman"/>
                <w:b/>
                <w:b/>
                <w:szCs w:val="24"/>
              </w:rPr>
            </w:pPr>
            <w:r>
              <w:rPr>
                <w:rFonts w:cs="Times New Roman" w:ascii="Times New Roman" w:hAnsi="Times New Roman"/>
                <w:b/>
                <w:color w:val="000000"/>
                <w:szCs w:val="24"/>
              </w:rPr>
              <w:t>VІ. Результати торгів та укладання договору про закупівлю</w:t>
            </w:r>
          </w:p>
        </w:tc>
        <w:tc>
          <w:tcPr>
            <w:tcW w:w="30" w:type="dxa"/>
            <w:tcBorders>
              <w:left w:val="single" w:sz="4" w:space="0" w:color="000000"/>
            </w:tcBorders>
            <w:shd w:color="auto" w:fill="auto" w:val="clear"/>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1. 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Відміна замовником тендеру чи визнання його таким, що не відбувся</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1.1. Замовник відміняє відкриті торги у разі:</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 відсутності подальшої потреби в закупівлі товарів, робіт чи послуг;</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3) скорочення обсягу видатків на здійснення закупівлі товарів, робіт чи послуг;</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4) коли здійснення закупівлі стало неможливим внаслідок дії обставин непереборної сили.</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1.2. Відкриті торги автоматично відміняються електронною системою закупівель у разі:</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1.3. Відкриті торги можуть бути відмінені частково (за лотом).</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2.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Строк укладання договору</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26"/>
              <w:spacing w:lineRule="atLeast" w:line="240"/>
              <w:ind w:left="143" w:right="136" w:firstLine="283"/>
              <w:jc w:val="both"/>
              <w:rPr>
                <w:rFonts w:ascii="Times New Roman" w:hAnsi="Times New Roman" w:cs="Times New Roman"/>
                <w:color w:val="FF0000"/>
                <w:szCs w:val="24"/>
              </w:rPr>
            </w:pPr>
            <w:r>
              <w:rPr>
                <w:rFonts w:cs="Times New Roman" w:ascii="Times New Roman" w:hAnsi="Times New Roman"/>
                <w:color w:val="000000"/>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640"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Проект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Згідно з Додатком № 3 до тендерної документації.</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Істотні умови, що обов’язково включаються до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highlight w:val="yellow"/>
              </w:rPr>
            </w:pPr>
            <w:r>
              <w:rPr>
                <w:color w:val="000000"/>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 w:name="n577"/>
            <w:bookmarkEnd w:id="5"/>
          </w:p>
          <w:p>
            <w:pPr>
              <w:pStyle w:val="Normal"/>
              <w:spacing w:before="0" w:after="0"/>
              <w:ind w:left="143" w:right="136" w:firstLine="283"/>
              <w:contextualSpacing/>
              <w:jc w:val="both"/>
              <w:rPr>
                <w:highlight w:val="yellow"/>
              </w:rPr>
            </w:pPr>
            <w:r>
              <w:rPr>
                <w:color w:val="000000"/>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spacing w:before="0" w:after="0"/>
              <w:ind w:left="143" w:right="136" w:firstLine="283"/>
              <w:contextualSpacing/>
              <w:jc w:val="both"/>
              <w:rPr>
                <w:highlight w:val="yellow"/>
              </w:rPr>
            </w:pPr>
            <w:r>
              <w:rPr>
                <w:color w:val="000000"/>
              </w:rPr>
              <w:t xml:space="preserve">визначення грошового еквівалента зобов’язання в іноземній валюті; </w:t>
            </w:r>
          </w:p>
          <w:p>
            <w:pPr>
              <w:pStyle w:val="Normal"/>
              <w:spacing w:before="0" w:after="0"/>
              <w:ind w:left="143" w:right="136" w:firstLine="283"/>
              <w:contextualSpacing/>
              <w:jc w:val="both"/>
              <w:rPr>
                <w:highlight w:val="yellow"/>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spacing w:before="0" w:after="0"/>
              <w:ind w:left="143" w:right="136" w:firstLine="283"/>
              <w:contextualSpacing/>
              <w:jc w:val="both"/>
              <w:rPr>
                <w:color w:val="000000"/>
              </w:rPr>
            </w:pPr>
            <w:r>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ind w:left="143" w:right="136" w:firstLine="283"/>
              <w:jc w:val="both"/>
              <w:rPr>
                <w:color w:val="000000"/>
                <w:highlight w:val="yellow"/>
              </w:rPr>
            </w:pPr>
            <w:r>
              <w:rPr>
                <w:color w:val="000000"/>
              </w:rPr>
              <w:t xml:space="preserve">4.3. </w:t>
            </w:r>
            <w:r>
              <w:rPr>
                <w:color w:val="000000"/>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left="143" w:right="136" w:firstLine="283"/>
              <w:jc w:val="both"/>
              <w:rPr>
                <w:color w:val="000000"/>
                <w:highlight w:val="yellow"/>
              </w:rPr>
            </w:pPr>
            <w:r>
              <w:rPr>
                <w:color w:val="000000"/>
                <w:lang w:eastAsia="en-US"/>
              </w:rPr>
              <w:t>1) зменшення обсягів закупівлі, зокрема з урахуванням фактичного обсягу видатків замовника;</w:t>
            </w:r>
          </w:p>
          <w:p>
            <w:pPr>
              <w:pStyle w:val="Normal"/>
              <w:ind w:left="143" w:right="136" w:firstLine="283"/>
              <w:jc w:val="both"/>
              <w:rPr>
                <w:color w:val="000000"/>
                <w:highlight w:val="yellow"/>
              </w:rPr>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left="143" w:right="136" w:firstLine="283"/>
              <w:jc w:val="both"/>
              <w:rPr>
                <w:color w:val="000000"/>
                <w:highlight w:val="yellow"/>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ind w:left="143" w:right="136" w:firstLine="283"/>
              <w:jc w:val="both"/>
              <w:rPr>
                <w:color w:val="000000"/>
                <w:highlight w:val="yellow"/>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left="143" w:right="136" w:firstLine="283"/>
              <w:jc w:val="both"/>
              <w:rPr>
                <w:color w:val="000000"/>
                <w:highlight w:val="yellow"/>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pPr>
              <w:pStyle w:val="Normal"/>
              <w:ind w:left="143" w:right="136" w:firstLine="283"/>
              <w:jc w:val="both"/>
              <w:rPr>
                <w:color w:val="000000"/>
                <w:highlight w:val="yellow"/>
              </w:rPr>
            </w:pP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left="143" w:right="136" w:firstLine="283"/>
              <w:jc w:val="both"/>
              <w:rPr>
                <w:color w:val="000000"/>
                <w:highlight w:val="yellow"/>
              </w:rPr>
            </w:pP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tLeast" w:line="240"/>
              <w:ind w:left="143" w:right="136" w:firstLine="283"/>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bookmarkStart w:id="6" w:name="n588"/>
            <w:bookmarkEnd w:id="6"/>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rHeight w:val="2257"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5. 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Дії замовника при відмові переможця торгів підписати договір про закупівлю</w:t>
            </w:r>
          </w:p>
        </w:tc>
        <w:tc>
          <w:tcPr>
            <w:tcW w:w="6521" w:type="dxa"/>
            <w:tcBorders>
              <w:top w:val="single" w:sz="4" w:space="0" w:color="000000"/>
              <w:left w:val="single" w:sz="4" w:space="0" w:color="000000"/>
              <w:bottom w:val="single" w:sz="4" w:space="0" w:color="000000"/>
              <w:right w:val="single" w:sz="4" w:space="0" w:color="000000"/>
            </w:tcBorders>
            <w:shd w:color="auto" w:fill="FFFFFF" w:val="clea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6. </w:t>
            </w:r>
          </w:p>
        </w:tc>
        <w:tc>
          <w:tcPr>
            <w:tcW w:w="2459"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Забезпечення виконання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6"/>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Не вимагається. </w:t>
            </w:r>
          </w:p>
        </w:tc>
        <w:tc>
          <w:tcPr>
            <w:tcW w:w="11" w:type="dxa"/>
            <w:tcBorders/>
          </w:tcPr>
          <w:p>
            <w:pPr>
              <w:pStyle w:val="Normal"/>
              <w:rPr>
                <w:b/>
                <w:b/>
                <w:lang w:val="uk-UA"/>
              </w:rPr>
            </w:pPr>
            <w:r>
              <w:rPr>
                <w:b/>
                <w:lang w:val="uk-UA"/>
              </w:rPr>
            </w:r>
          </w:p>
        </w:tc>
        <w:tc>
          <w:tcPr>
            <w:tcW w:w="30" w:type="dxa"/>
            <w:tcBorders/>
          </w:tcPr>
          <w:p>
            <w:pPr>
              <w:pStyle w:val="Normal"/>
              <w:rPr>
                <w:b/>
                <w:b/>
                <w:lang w:val="uk-UA"/>
              </w:rPr>
            </w:pPr>
            <w:r>
              <w:rPr>
                <w:b/>
                <w:lang w:val="uk-UA"/>
              </w:rPr>
            </w:r>
          </w:p>
        </w:tc>
      </w:tr>
    </w:tbl>
    <w:p>
      <w:pPr>
        <w:sectPr>
          <w:headerReference w:type="default" r:id="rId4"/>
          <w:footerReference w:type="default" r:id="rId5"/>
          <w:type w:val="nextPage"/>
          <w:pgSz w:w="11906" w:h="16838"/>
          <w:pgMar w:left="1638" w:right="567" w:header="397" w:top="454" w:footer="720" w:bottom="777" w:gutter="0"/>
          <w:pgNumType w:fmt="decimal"/>
          <w:formProt w:val="false"/>
          <w:textDirection w:val="lrTb"/>
          <w:docGrid w:type="default" w:linePitch="360" w:charSpace="0"/>
        </w:sectPr>
      </w:pPr>
    </w:p>
    <w:p>
      <w:pPr>
        <w:pStyle w:val="Normal"/>
        <w:ind w:left="10" w:hanging="10"/>
        <w:jc w:val="right"/>
        <w:rPr>
          <w:b/>
          <w:b/>
          <w:highlight w:val="white"/>
        </w:rPr>
      </w:pPr>
      <w:r>
        <w:rPr>
          <w:b/>
          <w:shd w:fill="FFFFFF" w:val="clear"/>
        </w:rPr>
        <w:t>Додаток №1</w:t>
      </w:r>
    </w:p>
    <w:p>
      <w:pPr>
        <w:pStyle w:val="Normal"/>
        <w:ind w:left="10" w:hanging="10"/>
        <w:jc w:val="right"/>
        <w:rPr>
          <w:b/>
          <w:b/>
          <w:highlight w:val="white"/>
        </w:rPr>
      </w:pPr>
      <w:r>
        <w:rPr>
          <w:shd w:fill="FFFFFF" w:val="clear"/>
          <w:lang w:val="uk-UA"/>
        </w:rPr>
        <w:t>до тендерної документації</w:t>
      </w:r>
    </w:p>
    <w:p>
      <w:pPr>
        <w:pStyle w:val="Normal"/>
        <w:spacing w:before="120" w:after="0"/>
        <w:jc w:val="center"/>
        <w:rPr>
          <w:b/>
          <w:b/>
          <w:sz w:val="28"/>
          <w:szCs w:val="28"/>
        </w:rPr>
      </w:pPr>
      <w:r>
        <w:rPr>
          <w:b/>
          <w:sz w:val="28"/>
          <w:szCs w:val="28"/>
        </w:rPr>
      </w:r>
    </w:p>
    <w:p>
      <w:pPr>
        <w:pStyle w:val="Normal"/>
        <w:jc w:val="center"/>
        <w:rPr>
          <w:b/>
          <w:b/>
          <w:bCs/>
          <w:sz w:val="28"/>
          <w:szCs w:val="28"/>
          <w:u w:val="single"/>
          <w:lang w:val="ru-RU"/>
        </w:rPr>
      </w:pPr>
      <w:r>
        <w:rPr>
          <w:b/>
          <w:bCs/>
          <w:sz w:val="28"/>
          <w:szCs w:val="28"/>
          <w:u w:val="single"/>
        </w:rPr>
        <w:t>Інформація про необхідні технічні,</w:t>
      </w:r>
      <w:r>
        <w:rPr>
          <w:b/>
          <w:bCs/>
          <w:sz w:val="28"/>
          <w:szCs w:val="28"/>
          <w:u w:val="single"/>
          <w:lang w:val="ru-RU"/>
        </w:rPr>
        <w:t xml:space="preserve"> </w:t>
      </w:r>
      <w:r>
        <w:rPr>
          <w:b/>
          <w:bCs/>
          <w:sz w:val="28"/>
          <w:szCs w:val="28"/>
          <w:u w:val="single"/>
        </w:rPr>
        <w:t>якісні та кількісні характеристики предмету закупівлі</w:t>
      </w:r>
    </w:p>
    <w:p>
      <w:pPr>
        <w:pStyle w:val="Normal"/>
        <w:rPr>
          <w:b/>
          <w:b/>
          <w:bCs/>
          <w:sz w:val="28"/>
          <w:szCs w:val="28"/>
          <w:u w:val="single"/>
          <w:lang w:val="ru-RU"/>
        </w:rPr>
      </w:pPr>
      <w:r>
        <w:rPr>
          <w:b/>
          <w:bCs/>
          <w:sz w:val="28"/>
          <w:szCs w:val="28"/>
          <w:u w:val="single"/>
          <w:lang w:val="ru-RU"/>
        </w:rPr>
      </w:r>
    </w:p>
    <w:p>
      <w:pPr>
        <w:pStyle w:val="Normal"/>
        <w:rPr>
          <w:b/>
          <w:b/>
          <w:bCs/>
          <w:u w:val="single"/>
          <w:lang w:val="ru-RU"/>
        </w:rPr>
      </w:pPr>
      <w:r>
        <w:rPr>
          <w:b/>
          <w:bCs/>
          <w:u w:val="single"/>
        </w:rPr>
        <w:t xml:space="preserve">Учасником надається </w:t>
      </w:r>
      <w:r>
        <w:rPr>
          <w:b/>
          <w:bCs/>
          <w:u w:val="single"/>
          <w:lang w:val="ru-RU"/>
        </w:rPr>
        <w:t xml:space="preserve">лист у довільній формі </w:t>
      </w:r>
      <w:r>
        <w:rPr>
          <w:b/>
          <w:bCs/>
          <w:u w:val="single"/>
        </w:rPr>
        <w:t xml:space="preserve"> щодо відповідності </w:t>
      </w:r>
      <w:r>
        <w:rPr>
          <w:b/>
          <w:bCs/>
          <w:u w:val="single"/>
          <w:lang w:val="ru-RU"/>
        </w:rPr>
        <w:t xml:space="preserve">предмета закупівлі  </w:t>
      </w:r>
      <w:r>
        <w:rPr>
          <w:b/>
          <w:bCs/>
          <w:u w:val="single"/>
        </w:rPr>
        <w:t xml:space="preserve">наступним характеристикам та вимогам: </w:t>
      </w:r>
    </w:p>
    <w:p>
      <w:pPr>
        <w:pStyle w:val="Normal"/>
        <w:jc w:val="center"/>
        <w:rPr>
          <w:bCs/>
          <w:u w:val="single"/>
        </w:rPr>
      </w:pPr>
      <w:r>
        <w:rPr>
          <w:bCs/>
          <w:u w:val="single"/>
        </w:rPr>
      </w:r>
    </w:p>
    <w:p>
      <w:pPr>
        <w:pStyle w:val="Normal"/>
        <w:rPr>
          <w:b/>
          <w:b/>
          <w:bCs/>
        </w:rPr>
      </w:pPr>
      <w:r>
        <w:rPr>
          <w:b/>
          <w:bCs/>
        </w:rPr>
      </w:r>
    </w:p>
    <w:p>
      <w:pPr>
        <w:pStyle w:val="Normal"/>
        <w:rPr>
          <w:bCs/>
        </w:rPr>
      </w:pPr>
      <w:r>
        <w:rPr>
          <w:b/>
          <w:lang w:eastAsia="ru-RU"/>
        </w:rPr>
        <w:t>Предмет закупівлі:</w:t>
      </w:r>
      <w:r>
        <w:rPr>
          <w:b/>
          <w:lang w:val="ru-RU" w:eastAsia="ru-RU"/>
        </w:rPr>
        <w:t xml:space="preserve"> </w:t>
      </w:r>
      <w:r>
        <w:rPr>
          <w:bCs/>
        </w:rPr>
        <w:t xml:space="preserve">ДК 021:2015 - 79710000-4 «Охоронні послуги» послуги з охорони приміщень </w:t>
      </w:r>
      <w:r>
        <w:rPr>
          <w:bCs/>
          <w:lang w:val="ru-RU"/>
        </w:rPr>
        <w:t>(</w:t>
      </w:r>
      <w:r>
        <w:rPr>
          <w:bCs/>
        </w:rPr>
        <w:t>пультова охорона) .</w:t>
      </w:r>
    </w:p>
    <w:p>
      <w:pPr>
        <w:pStyle w:val="Normal"/>
        <w:rPr>
          <w:bCs/>
          <w:lang w:val="ru-RU"/>
        </w:rPr>
      </w:pPr>
      <w:r>
        <w:rPr>
          <w:b/>
          <w:bCs/>
        </w:rPr>
        <w:t>Строк надання послуг</w:t>
      </w:r>
      <w:r>
        <w:rPr>
          <w:bCs/>
        </w:rPr>
        <w:t xml:space="preserve">: 01.01.2023 - 31.12.2023   </w:t>
      </w:r>
    </w:p>
    <w:p>
      <w:pPr>
        <w:pStyle w:val="Normal"/>
        <w:jc w:val="both"/>
        <w:rPr>
          <w:b/>
          <w:b/>
          <w:i/>
          <w:i/>
          <w:lang w:val="ru-RU" w:eastAsia="ru-RU"/>
        </w:rPr>
      </w:pPr>
      <w:r>
        <w:rPr>
          <w:b/>
          <w:i/>
          <w:lang w:val="ru-RU" w:eastAsia="ru-RU"/>
        </w:rPr>
      </w:r>
    </w:p>
    <w:tbl>
      <w:tblPr>
        <w:tblW w:w="10038" w:type="dxa"/>
        <w:jc w:val="left"/>
        <w:tblInd w:w="-432" w:type="dxa"/>
        <w:tblCellMar>
          <w:top w:w="0" w:type="dxa"/>
          <w:left w:w="108" w:type="dxa"/>
          <w:bottom w:w="0" w:type="dxa"/>
          <w:right w:w="108" w:type="dxa"/>
        </w:tblCellMar>
        <w:tblLook w:val="00a0"/>
      </w:tblPr>
      <w:tblGrid>
        <w:gridCol w:w="534"/>
        <w:gridCol w:w="3120"/>
        <w:gridCol w:w="2554"/>
        <w:gridCol w:w="2129"/>
        <w:gridCol w:w="1701"/>
      </w:tblGrid>
      <w:tr>
        <w:trPr>
          <w:trHeight w:val="2313" w:hRule="exac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w:t>
            </w:r>
          </w:p>
        </w:tc>
        <w:tc>
          <w:tcPr>
            <w:tcW w:w="3120"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Назва об</w:t>
            </w:r>
            <w:r>
              <w:rPr>
                <w:lang w:val="ru-RU" w:eastAsia="uk-UA"/>
              </w:rPr>
              <w:t>’</w:t>
            </w:r>
            <w:r>
              <w:rPr>
                <w:lang w:eastAsia="uk-UA"/>
              </w:rPr>
              <w:t>єкта охорони</w:t>
            </w:r>
          </w:p>
          <w:p>
            <w:pPr>
              <w:pStyle w:val="Normal"/>
              <w:shd w:val="clear" w:color="auto" w:fill="FFFFFF"/>
              <w:jc w:val="center"/>
              <w:rPr>
                <w:lang w:eastAsia="uk-UA"/>
              </w:rPr>
            </w:pPr>
            <w:r>
              <w:rPr>
                <w:lang w:eastAsia="uk-UA"/>
              </w:rPr>
              <w:t xml:space="preserve">структурних підрозділів </w:t>
            </w:r>
            <w:r>
              <w:rPr>
                <w:sz w:val="23"/>
                <w:szCs w:val="23"/>
              </w:rPr>
              <w:t>Головного управління Пенсійного фонду України в Тернопільській області</w:t>
            </w:r>
          </w:p>
        </w:tc>
        <w:tc>
          <w:tcPr>
            <w:tcW w:w="2554"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Адреса об</w:t>
            </w:r>
            <w:r>
              <w:rPr>
                <w:lang w:val="en-US" w:eastAsia="uk-UA"/>
              </w:rPr>
              <w:t>’</w:t>
            </w:r>
            <w:r>
              <w:rPr>
                <w:lang w:eastAsia="uk-UA"/>
              </w:rPr>
              <w:t>єкта</w:t>
            </w:r>
          </w:p>
        </w:tc>
        <w:tc>
          <w:tcPr>
            <w:tcW w:w="2129"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exact" w:line="274"/>
              <w:ind w:left="91" w:hanging="0"/>
              <w:jc w:val="center"/>
              <w:rPr>
                <w:lang w:eastAsia="ru-RU"/>
              </w:rPr>
            </w:pPr>
            <w:r>
              <w:rPr>
                <w:lang w:eastAsia="ru-RU"/>
              </w:rPr>
              <w:t>Графік надання послуг</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exact" w:line="274"/>
              <w:jc w:val="center"/>
              <w:rPr>
                <w:highlight w:val="green"/>
                <w:lang w:eastAsia="ru-RU"/>
              </w:rPr>
            </w:pPr>
            <w:r>
              <w:rPr>
                <w:lang w:eastAsia="ru-RU"/>
              </w:rPr>
              <w:t>Цінова пропозиція з ПДВ (у разі якщо Учасник є платником ПДВ) грн.</w:t>
            </w:r>
            <w:bookmarkStart w:id="7" w:name="_Hlk514744160"/>
            <w:bookmarkEnd w:id="7"/>
          </w:p>
        </w:tc>
      </w:tr>
      <w:tr>
        <w:trPr>
          <w:trHeight w:val="2250"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20" w:type="dxa"/>
            <w:tcBorders/>
            <w:tcMar>
              <w:top w:w="55" w:type="dxa"/>
              <w:bottom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№1</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м.Бережани,    </w:t>
            </w:r>
          </w:p>
          <w:p>
            <w:pPr>
              <w:pStyle w:val="Normal"/>
              <w:ind w:right="141" w:hanging="0"/>
              <w:jc w:val="both"/>
              <w:rPr>
                <w:sz w:val="23"/>
                <w:szCs w:val="23"/>
              </w:rPr>
            </w:pPr>
            <w:r>
              <w:rPr>
                <w:sz w:val="23"/>
                <w:szCs w:val="23"/>
              </w:rPr>
              <w:t>вул. Шевченка, 13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965"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2</w:t>
            </w:r>
          </w:p>
        </w:tc>
        <w:tc>
          <w:tcPr>
            <w:tcW w:w="3120" w:type="dxa"/>
            <w:tcBorders/>
            <w:tcMar>
              <w:top w:w="55" w:type="dxa"/>
              <w:bottom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№2</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Борщів, </w:t>
            </w:r>
          </w:p>
          <w:p>
            <w:pPr>
              <w:pStyle w:val="Normal"/>
              <w:ind w:right="141" w:hanging="0"/>
              <w:jc w:val="both"/>
              <w:rPr>
                <w:sz w:val="23"/>
                <w:szCs w:val="23"/>
              </w:rPr>
            </w:pPr>
            <w:r>
              <w:rPr>
                <w:sz w:val="23"/>
                <w:szCs w:val="23"/>
              </w:rPr>
              <w:t>вул С.Бандери, 19 а</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823"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3</w:t>
            </w:r>
          </w:p>
        </w:tc>
        <w:tc>
          <w:tcPr>
            <w:tcW w:w="3120" w:type="dxa"/>
            <w:tcBorders/>
            <w:tcMar>
              <w:top w:w="55" w:type="dxa"/>
              <w:bottom w:w="55" w:type="dxa"/>
            </w:tcMar>
            <w:vAlign w:val="center"/>
          </w:tcPr>
          <w:p>
            <w:pPr>
              <w:pStyle w:val="Normal"/>
              <w:snapToGrid w:val="false"/>
              <w:spacing w:lineRule="auto" w:line="252"/>
              <w:ind w:right="-133" w:hanging="0"/>
              <w:rPr>
                <w:sz w:val="23"/>
                <w:szCs w:val="23"/>
              </w:rPr>
            </w:pPr>
            <w:r>
              <w:rPr>
                <w:sz w:val="23"/>
                <w:szCs w:val="23"/>
              </w:rPr>
              <w:t>Відділ обслуговування громадян №3</w:t>
            </w:r>
          </w:p>
          <w:p>
            <w:pPr>
              <w:pStyle w:val="Normal"/>
              <w:snapToGrid w:val="false"/>
              <w:spacing w:lineRule="auto" w:line="252"/>
              <w:ind w:right="-133"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 Бучач,</w:t>
            </w:r>
          </w:p>
          <w:p>
            <w:pPr>
              <w:pStyle w:val="Normal"/>
              <w:ind w:right="141" w:hanging="0"/>
              <w:jc w:val="both"/>
              <w:rPr>
                <w:sz w:val="23"/>
                <w:szCs w:val="23"/>
              </w:rPr>
            </w:pPr>
            <w:r>
              <w:rPr>
                <w:sz w:val="23"/>
                <w:szCs w:val="23"/>
              </w:rPr>
              <w:t xml:space="preserve"> </w:t>
            </w:r>
            <w:r>
              <w:rPr>
                <w:sz w:val="23"/>
                <w:szCs w:val="23"/>
              </w:rPr>
              <w:t>вул. Г.Шухевича,1</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71"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4</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20" w:type="dxa"/>
            <w:tcBorders/>
            <w:tcMar>
              <w:top w:w="55" w:type="dxa"/>
              <w:bottom w:w="55" w:type="dxa"/>
            </w:tcMar>
          </w:tcPr>
          <w:p>
            <w:pPr>
              <w:pStyle w:val="Normal"/>
              <w:ind w:right="141" w:hanging="0"/>
              <w:rPr>
                <w:sz w:val="23"/>
                <w:szCs w:val="23"/>
              </w:rPr>
            </w:pPr>
            <w:r>
              <w:rPr>
                <w:sz w:val="23"/>
                <w:szCs w:val="23"/>
              </w:rPr>
              <w:t xml:space="preserve">Відділ обслуговування громадян №4 </w:t>
            </w:r>
          </w:p>
          <w:p>
            <w:pPr>
              <w:pStyle w:val="Normal"/>
              <w:ind w:right="141" w:hanging="0"/>
              <w:rPr>
                <w:sz w:val="23"/>
                <w:szCs w:val="23"/>
              </w:rPr>
            </w:pP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смт.Гусятин,                          вул. Незалежності,50</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56"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5</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20" w:type="dxa"/>
            <w:tcBorders/>
            <w:tcMar>
              <w:top w:w="55" w:type="dxa"/>
              <w:bottom w:w="55" w:type="dxa"/>
            </w:tcMar>
          </w:tcPr>
          <w:p>
            <w:pPr>
              <w:pStyle w:val="Normal"/>
              <w:ind w:right="141" w:hanging="0"/>
              <w:rPr>
                <w:sz w:val="23"/>
                <w:szCs w:val="23"/>
              </w:rPr>
            </w:pPr>
            <w:r>
              <w:rPr>
                <w:sz w:val="23"/>
                <w:szCs w:val="23"/>
              </w:rPr>
              <w:t xml:space="preserve">Відділ обслуговування громадян №12 </w:t>
            </w:r>
          </w:p>
          <w:p>
            <w:pPr>
              <w:pStyle w:val="Normal"/>
              <w:ind w:right="141" w:hanging="0"/>
              <w:rPr>
                <w:sz w:val="23"/>
                <w:szCs w:val="23"/>
              </w:rPr>
            </w:pP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м.Заліщики, вул.Грушевського,12</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23"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6</w:t>
            </w:r>
          </w:p>
          <w:p>
            <w:pPr>
              <w:pStyle w:val="Normal"/>
              <w:rPr>
                <w:lang w:val="ru-RU" w:eastAsia="ru-RU"/>
              </w:rPr>
            </w:pPr>
            <w:r>
              <w:rPr>
                <w:lang w:val="ru-RU"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20" w:type="dxa"/>
            <w:tcBorders/>
            <w:tcMar>
              <w:top w:w="55" w:type="dxa"/>
              <w:bottom w:w="55" w:type="dxa"/>
            </w:tcMar>
          </w:tcPr>
          <w:p>
            <w:pPr>
              <w:pStyle w:val="Normal"/>
              <w:ind w:right="141" w:hanging="0"/>
              <w:rPr>
                <w:sz w:val="23"/>
                <w:szCs w:val="23"/>
              </w:rPr>
            </w:pPr>
            <w:r>
              <w:rPr>
                <w:sz w:val="23"/>
                <w:szCs w:val="23"/>
              </w:rPr>
              <w:t xml:space="preserve">Відділ обслуговування громадян №8 </w:t>
            </w:r>
          </w:p>
          <w:p>
            <w:pPr>
              <w:pStyle w:val="Normal"/>
              <w:ind w:right="141" w:hanging="0"/>
              <w:rPr>
                <w:sz w:val="23"/>
                <w:szCs w:val="23"/>
              </w:rPr>
            </w:pP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Збараж, </w:t>
            </w:r>
          </w:p>
          <w:p>
            <w:pPr>
              <w:pStyle w:val="Normal"/>
              <w:ind w:right="141" w:hanging="0"/>
              <w:jc w:val="both"/>
              <w:rPr>
                <w:sz w:val="23"/>
                <w:szCs w:val="23"/>
              </w:rPr>
            </w:pPr>
            <w:r>
              <w:rPr>
                <w:sz w:val="23"/>
                <w:szCs w:val="23"/>
              </w:rPr>
              <w:t>вул. Грушевського,3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26"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7</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№5</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м.Зборів, </w:t>
            </w:r>
          </w:p>
          <w:p>
            <w:pPr>
              <w:pStyle w:val="Normal"/>
              <w:ind w:right="141" w:hanging="0"/>
              <w:jc w:val="both"/>
              <w:rPr>
                <w:sz w:val="23"/>
                <w:szCs w:val="23"/>
              </w:rPr>
            </w:pPr>
            <w:r>
              <w:rPr>
                <w:sz w:val="23"/>
                <w:szCs w:val="23"/>
              </w:rPr>
              <w:t>вул. Гоголя,40</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9"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8</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№5</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смт. Козова, </w:t>
            </w:r>
          </w:p>
          <w:p>
            <w:pPr>
              <w:pStyle w:val="Normal"/>
              <w:ind w:right="141" w:hanging="0"/>
              <w:jc w:val="both"/>
              <w:rPr>
                <w:sz w:val="23"/>
                <w:szCs w:val="23"/>
              </w:rPr>
            </w:pPr>
            <w:r>
              <w:rPr>
                <w:sz w:val="23"/>
                <w:szCs w:val="23"/>
              </w:rPr>
              <w:t>вул. Грушевського, 26</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59"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9</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№6</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м.Кременець, </w:t>
            </w:r>
          </w:p>
          <w:p>
            <w:pPr>
              <w:pStyle w:val="Normal"/>
              <w:ind w:right="141" w:hanging="0"/>
              <w:jc w:val="both"/>
              <w:rPr>
                <w:sz w:val="23"/>
                <w:szCs w:val="23"/>
              </w:rPr>
            </w:pPr>
            <w:r>
              <w:rPr>
                <w:sz w:val="23"/>
                <w:szCs w:val="23"/>
              </w:rPr>
              <w:t>вул. Чорновола,2</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3"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10</w:t>
            </w:r>
          </w:p>
        </w:tc>
        <w:tc>
          <w:tcPr>
            <w:tcW w:w="3120" w:type="dxa"/>
            <w:tcBorders/>
            <w:tcMar>
              <w:top w:w="55" w:type="dxa"/>
              <w:bottom w:w="55" w:type="dxa"/>
            </w:tcMar>
          </w:tcPr>
          <w:p>
            <w:pPr>
              <w:pStyle w:val="Normal"/>
              <w:ind w:right="141" w:hanging="0"/>
              <w:rPr>
                <w:sz w:val="23"/>
                <w:szCs w:val="23"/>
              </w:rPr>
            </w:pPr>
            <w:r>
              <w:rPr>
                <w:sz w:val="23"/>
                <w:szCs w:val="23"/>
              </w:rPr>
              <w:t xml:space="preserve">Відділ обслуговування громадян №7 </w:t>
            </w:r>
          </w:p>
          <w:p>
            <w:pPr>
              <w:pStyle w:val="Normal"/>
              <w:ind w:right="141" w:hanging="0"/>
              <w:rPr>
                <w:sz w:val="23"/>
                <w:szCs w:val="23"/>
              </w:rPr>
            </w:pP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м.Ланівці,  </w:t>
            </w:r>
          </w:p>
          <w:p>
            <w:pPr>
              <w:pStyle w:val="Normal"/>
              <w:ind w:right="141" w:hanging="0"/>
              <w:jc w:val="both"/>
              <w:rPr>
                <w:sz w:val="23"/>
                <w:szCs w:val="23"/>
              </w:rPr>
            </w:pPr>
            <w:r>
              <w:rPr>
                <w:sz w:val="23"/>
                <w:szCs w:val="23"/>
              </w:rPr>
              <w:t>вул. Грушевського,13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40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11</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№3</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м.Монастириська,     </w:t>
            </w:r>
          </w:p>
          <w:p>
            <w:pPr>
              <w:pStyle w:val="Normal"/>
              <w:ind w:right="141" w:hanging="0"/>
              <w:jc w:val="both"/>
              <w:rPr/>
            </w:pPr>
            <w:r>
              <w:rPr/>
              <w:t xml:space="preserve"> </w:t>
            </w:r>
            <w:r>
              <w:rPr/>
              <w:t>вул. С.Бандери,1</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5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12</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№8</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смт.Підволочиськ, </w:t>
            </w:r>
          </w:p>
          <w:p>
            <w:pPr>
              <w:pStyle w:val="Normal"/>
              <w:ind w:right="141" w:hanging="0"/>
              <w:jc w:val="both"/>
              <w:rPr/>
            </w:pPr>
            <w:r>
              <w:rPr/>
              <w:t>вул.Д.Галицького,67.</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13</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№1</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Підгайці, </w:t>
            </w:r>
          </w:p>
          <w:p>
            <w:pPr>
              <w:pStyle w:val="Normal"/>
              <w:ind w:right="141" w:hanging="0"/>
              <w:jc w:val="both"/>
              <w:rPr/>
            </w:pPr>
            <w:r>
              <w:rPr/>
              <w:t>вул. Шевченка,22</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412"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14</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№9</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м.Теребовля, </w:t>
            </w:r>
          </w:p>
          <w:p>
            <w:pPr>
              <w:pStyle w:val="Normal"/>
              <w:ind w:right="141" w:hanging="0"/>
              <w:jc w:val="both"/>
              <w:rPr/>
            </w:pPr>
            <w:r>
              <w:rPr/>
              <w:t>вул. 22 Січня,17</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60"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15</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№10</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Тернопіль, </w:t>
            </w:r>
          </w:p>
          <w:p>
            <w:pPr>
              <w:pStyle w:val="Normal"/>
              <w:ind w:right="141" w:hanging="0"/>
              <w:jc w:val="both"/>
              <w:rPr/>
            </w:pPr>
            <w:r>
              <w:rPr/>
              <w:t>вул. Кривоноса, 10</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40"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16</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№12</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Чортків, </w:t>
            </w:r>
          </w:p>
          <w:p>
            <w:pPr>
              <w:pStyle w:val="Normal"/>
              <w:ind w:right="141" w:hanging="0"/>
              <w:jc w:val="both"/>
              <w:rPr/>
            </w:pPr>
            <w:r>
              <w:rPr/>
              <w:t>вул. Шевченка,34</w:t>
            </w:r>
          </w:p>
          <w:p>
            <w:pPr>
              <w:pStyle w:val="Normal"/>
              <w:ind w:right="141" w:hanging="0"/>
              <w:jc w:val="both"/>
              <w:rPr/>
            </w:pPr>
            <w:r>
              <w:rPr/>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4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17</w:t>
            </w:r>
          </w:p>
        </w:tc>
        <w:tc>
          <w:tcPr>
            <w:tcW w:w="3120" w:type="dxa"/>
            <w:tcBorders/>
            <w:tcMar>
              <w:top w:w="55" w:type="dxa"/>
              <w:bottom w:w="55" w:type="dxa"/>
            </w:tcMar>
          </w:tcPr>
          <w:p>
            <w:pPr>
              <w:pStyle w:val="Normal"/>
              <w:ind w:right="141" w:hanging="0"/>
              <w:rPr>
                <w:sz w:val="23"/>
                <w:szCs w:val="23"/>
              </w:rPr>
            </w:pPr>
            <w:r>
              <w:rPr>
                <w:sz w:val="23"/>
                <w:szCs w:val="23"/>
              </w:rPr>
              <w:t>Відділ обслуговування громадян №7</w:t>
            </w:r>
          </w:p>
          <w:p>
            <w:pPr>
              <w:pStyle w:val="Normal"/>
              <w:ind w:right="141" w:hanging="0"/>
              <w:rPr>
                <w:sz w:val="23"/>
                <w:szCs w:val="23"/>
              </w:rPr>
            </w:pPr>
            <w:r>
              <w:rPr>
                <w:sz w:val="23"/>
                <w:szCs w:val="23"/>
              </w:rPr>
              <w:t xml:space="preserve"> </w:t>
            </w:r>
            <w:r>
              <w:rPr>
                <w:sz w:val="23"/>
                <w:szCs w:val="23"/>
              </w:rPr>
              <w:t>(сервісний центр)</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м.Шумськ, </w:t>
            </w:r>
          </w:p>
          <w:p>
            <w:pPr>
              <w:pStyle w:val="Normal"/>
              <w:ind w:right="141" w:hanging="0"/>
              <w:jc w:val="both"/>
              <w:rPr/>
            </w:pPr>
            <w:r>
              <w:rPr/>
              <w:t>вул. І.Франка,34а</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7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18</w:t>
            </w:r>
          </w:p>
        </w:tc>
        <w:tc>
          <w:tcPr>
            <w:tcW w:w="3120" w:type="dxa"/>
            <w:tcBorders/>
            <w:tcMar>
              <w:top w:w="55" w:type="dxa"/>
              <w:bottom w:w="55" w:type="dxa"/>
            </w:tcMar>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м. Тернопіль,  Майдан Волі, 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18.00-07.30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17.00-07.30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val="en-US" w:eastAsia="ru-RU"/>
              </w:rPr>
              <w:t>19</w:t>
            </w:r>
          </w:p>
        </w:tc>
        <w:tc>
          <w:tcPr>
            <w:tcW w:w="3120" w:type="dxa"/>
            <w:tcBorders>
              <w:bottom w:val="single" w:sz="4" w:space="0" w:color="000000"/>
            </w:tcBorders>
            <w:tcMar>
              <w:top w:w="55" w:type="dxa"/>
              <w:bottom w:w="55" w:type="dxa"/>
            </w:tcMar>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2554"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Тернопіль, </w:t>
            </w:r>
          </w:p>
          <w:p>
            <w:pPr>
              <w:pStyle w:val="Normal"/>
              <w:ind w:right="141" w:hanging="0"/>
              <w:jc w:val="both"/>
              <w:rPr/>
            </w:pPr>
            <w:r>
              <w:rPr/>
              <w:t>вул. Лисенка,1</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18.00-07.30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17.00-07.30</w:t>
            </w:r>
          </w:p>
          <w:p>
            <w:pPr>
              <w:pStyle w:val="Normal"/>
              <w:suppressAutoHyphens w:val="false"/>
              <w:snapToGrid w:val="false"/>
              <w:spacing w:lineRule="auto" w:line="252"/>
              <w:ind w:left="79" w:hanging="0"/>
              <w:jc w:val="center"/>
              <w:rPr>
                <w:color w:val="000000"/>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bl>
    <w:p>
      <w:pPr>
        <w:pStyle w:val="Normal"/>
        <w:jc w:val="both"/>
        <w:rPr>
          <w:b/>
          <w:b/>
          <w:i/>
          <w:i/>
          <w:lang w:eastAsia="ru-RU"/>
        </w:rPr>
      </w:pPr>
      <w:r>
        <w:rPr>
          <w:b/>
          <w:i/>
          <w:lang w:eastAsia="ru-RU"/>
        </w:rPr>
      </w:r>
    </w:p>
    <w:p>
      <w:pPr>
        <w:pStyle w:val="Normal"/>
        <w:ind w:left="720" w:hanging="0"/>
        <w:jc w:val="both"/>
        <w:rPr>
          <w:b/>
          <w:b/>
          <w:bCs/>
          <w:lang w:val="ru-RU"/>
        </w:rPr>
      </w:pPr>
      <w:r>
        <w:rPr>
          <w:b/>
          <w:bCs/>
        </w:rPr>
        <w:t>Вимоги:</w:t>
      </w:r>
    </w:p>
    <w:p>
      <w:pPr>
        <w:pStyle w:val="Normal"/>
        <w:keepNext w:val="true"/>
        <w:numPr>
          <w:ilvl w:val="0"/>
          <w:numId w:val="0"/>
        </w:numPr>
        <w:spacing w:before="0" w:after="60"/>
        <w:ind w:firstLine="567"/>
        <w:jc w:val="both"/>
        <w:outlineLvl w:val="0"/>
        <w:rPr>
          <w:iCs/>
          <w:sz w:val="28"/>
          <w:szCs w:val="28"/>
        </w:rPr>
      </w:pPr>
      <w:r>
        <w:rPr/>
        <w:t xml:space="preserve">1. </w:t>
      </w:r>
      <w:r>
        <w:rPr>
          <w:rFonts w:eastAsia="Calibri"/>
        </w:rPr>
        <w:t xml:space="preserve">Документальне підтвердження </w:t>
      </w:r>
      <w:r>
        <w:rPr/>
        <w:t xml:space="preserve">наявності </w:t>
      </w:r>
      <w:r>
        <w:rPr>
          <w:rFonts w:eastAsia="Calibri"/>
        </w:rPr>
        <w:t xml:space="preserve">у Виконавця </w:t>
      </w:r>
      <w:r>
        <w:rPr/>
        <w:t xml:space="preserve">власних нарядів реагування (не менше 3-ох у м. Тернопіль та не менше 1-го у кожному населеному пункті, де розташовані об’єкти Замовника) для забезпечення </w:t>
      </w:r>
      <w:r>
        <w:rPr>
          <w:rFonts w:eastAsia="Calibri"/>
        </w:rPr>
        <w:t>цілодобового реагування (прибуття наряду реагування протягом 5-ти хвилин) на повідомлення про спрацювання засобів охоронного призначення</w:t>
      </w:r>
      <w:r>
        <w:rPr/>
        <w:t>, що мають спеціальне кольорографічне пофарбування, розпізнавальні знаки та оснащені спеціальними звуковими і світловими сигнальними пристроями, в населених пунктах, де знаходяться об’єкти.</w:t>
      </w:r>
    </w:p>
    <w:p>
      <w:pPr>
        <w:pStyle w:val="Normal"/>
        <w:ind w:firstLine="720"/>
        <w:jc w:val="both"/>
        <w:rPr>
          <w:lang w:val="ru-RU"/>
        </w:rPr>
      </w:pPr>
      <w:r>
        <w:rPr>
          <w:rFonts w:eastAsia="Calibri"/>
        </w:rPr>
        <w:t xml:space="preserve">2. Документальне підтвердження наявності у Виконавця встановлених </w:t>
      </w:r>
      <w:r>
        <w:rPr/>
        <w:t>систем GPS-моніторингу у кожному наявному автомобілі (наряді реагування) – для підтвердження факту виїзду та часу прибуття груп реагування на адресу вказану диспетчером Виконавця або на місце спрацювання ОС у м.Тернопіль та у кожному населеному пункті, де розташовані  об’єкти. Замовника</w:t>
      </w:r>
      <w:r>
        <w:rPr>
          <w:lang w:val="en-US"/>
        </w:rPr>
        <w:t>.</w:t>
      </w:r>
      <w:r>
        <w:rPr>
          <w:lang w:val="ru-RU"/>
        </w:rPr>
        <w:t>.</w:t>
      </w:r>
    </w:p>
    <w:p>
      <w:pPr>
        <w:pStyle w:val="Normal"/>
        <w:keepNext w:val="true"/>
        <w:numPr>
          <w:ilvl w:val="0"/>
          <w:numId w:val="0"/>
        </w:numPr>
        <w:spacing w:before="0" w:after="60"/>
        <w:ind w:firstLine="720"/>
        <w:jc w:val="both"/>
        <w:outlineLvl w:val="0"/>
        <w:rPr>
          <w:b/>
          <w:b/>
          <w:iCs/>
          <w:lang w:val="ru-RU"/>
        </w:rPr>
      </w:pPr>
      <w:r>
        <w:rPr>
          <w:lang w:val="ru-RU"/>
        </w:rPr>
        <w:t xml:space="preserve">3. У разі необхідності запиту Замовника до </w:t>
      </w:r>
      <w:r>
        <w:rPr>
          <w:rFonts w:eastAsia="Calibri"/>
          <w:lang w:val="ru-RU"/>
        </w:rPr>
        <w:t xml:space="preserve">Виконавця (переможця торгів) </w:t>
      </w:r>
      <w:r>
        <w:rPr>
          <w:lang w:val="ru-RU"/>
        </w:rPr>
        <w:t xml:space="preserve">для підтвердження виконання </w:t>
      </w:r>
      <w:r>
        <w:rPr>
          <w:b/>
          <w:lang w:val="ru-RU"/>
        </w:rPr>
        <w:t>послуг по аналогічному договору</w:t>
      </w:r>
      <w:r>
        <w:rPr>
          <w:lang w:val="ru-RU"/>
        </w:rPr>
        <w:t xml:space="preserve"> </w:t>
      </w:r>
      <w:r>
        <w:rPr>
          <w:b/>
          <w:lang w:val="ru-RU"/>
        </w:rPr>
        <w:t>протягом</w:t>
      </w:r>
      <w:r>
        <w:rPr>
          <w:lang w:val="ru-RU"/>
        </w:rPr>
        <w:t xml:space="preserve"> </w:t>
      </w:r>
      <w:r>
        <w:rPr>
          <w:b/>
          <w:lang w:val="ru-RU"/>
        </w:rPr>
        <w:t xml:space="preserve">усього періоду, </w:t>
      </w:r>
      <w:r>
        <w:rPr>
          <w:lang w:val="ru-RU"/>
        </w:rPr>
        <w:t xml:space="preserve">надати історію руху автомобіля (наряду реагування), з системи </w:t>
      </w:r>
      <w:r>
        <w:rPr/>
        <w:t>GPS</w:t>
      </w:r>
      <w:r>
        <w:rPr>
          <w:lang w:val="ru-RU"/>
        </w:rPr>
        <w:t>-моніторингу, де знаходиться об’єкти</w:t>
      </w:r>
      <w:r>
        <w:rPr>
          <w:b/>
          <w:lang w:val="ru-RU"/>
        </w:rPr>
        <w:t>.</w:t>
      </w:r>
    </w:p>
    <w:p>
      <w:pPr>
        <w:pStyle w:val="Normal"/>
        <w:ind w:firstLine="672"/>
        <w:jc w:val="both"/>
        <w:rPr>
          <w:lang w:val="ru-RU"/>
        </w:rPr>
      </w:pPr>
      <w:r>
        <w:rPr>
          <w:rFonts w:eastAsia="Calibri"/>
          <w:lang w:val="ru-RU"/>
        </w:rPr>
        <w:t xml:space="preserve">4. Виконавець повинен забезпечити функціонування устаткування охоронної сигналізації, що встановлена на об’єкті Замовника та, у разі виходу її з ладу в термін, що не перевищує </w:t>
      </w:r>
      <w:r>
        <w:rPr>
          <w:rFonts w:eastAsia="Calibri"/>
          <w:b/>
          <w:lang w:val="ru-RU"/>
        </w:rPr>
        <w:t>трьох годин</w:t>
      </w:r>
      <w:r>
        <w:rPr>
          <w:rFonts w:eastAsia="Calibri"/>
          <w:lang w:val="ru-RU"/>
        </w:rPr>
        <w:t xml:space="preserve"> </w:t>
      </w:r>
      <w:r>
        <w:rPr>
          <w:lang w:val="ru-RU"/>
        </w:rPr>
        <w:t>після одержання повідомлення від Замовника про виявлену несправність в роботі обладнання охоронного призначення провести ремонтні роботи.</w:t>
      </w:r>
    </w:p>
    <w:p>
      <w:pPr>
        <w:pStyle w:val="Normal"/>
        <w:ind w:firstLine="672"/>
        <w:jc w:val="both"/>
        <w:rPr>
          <w:lang w:val="ru-RU"/>
        </w:rPr>
      </w:pPr>
      <w:r>
        <w:rPr>
          <w:lang w:val="ru-RU"/>
        </w:rPr>
        <w:t xml:space="preserve">5. У разі надходження на пульт центрального спостереження сигналу про спрацювання сигналізації на об’єкті в період охорони або надходження на пульт центрального спостереження сигналу сигналу тривоги, забезпечити прибуття наряду охорони </w:t>
      </w:r>
      <w:r>
        <w:rPr>
          <w:b/>
          <w:lang w:val="ru-RU"/>
        </w:rPr>
        <w:t>в термін до 5 хвилин</w:t>
      </w:r>
      <w:r>
        <w:rPr>
          <w:lang w:val="ru-RU"/>
        </w:rPr>
        <w:t xml:space="preserve"> на об’єкт у відповідності до дислокації, для вжиття заходів, спрямованих на встановлення причин спрацювання сигналізації, а в разі необхідності – припинення правопорушень або злочину на об’єкті.</w:t>
      </w:r>
    </w:p>
    <w:p>
      <w:pPr>
        <w:pStyle w:val="Normal"/>
        <w:tabs>
          <w:tab w:val="clear" w:pos="709"/>
          <w:tab w:val="left" w:pos="567" w:leader="none"/>
        </w:tabs>
        <w:ind w:firstLine="672"/>
        <w:jc w:val="both"/>
        <w:rPr>
          <w:b/>
          <w:b/>
          <w:lang w:val="ru-RU"/>
        </w:rPr>
      </w:pPr>
      <w:r>
        <w:rPr>
          <w:lang w:val="ru-RU"/>
        </w:rPr>
        <w:t xml:space="preserve">6. Лист за підписом уповноваженої особи Учасника та завірений печаткою </w:t>
      </w:r>
      <w:r>
        <w:rPr>
          <w:i/>
          <w:lang w:val="ru-RU"/>
        </w:rPr>
        <w:t>(</w:t>
      </w:r>
      <w:r>
        <w:rPr>
          <w:i/>
          <w:iCs/>
          <w:lang w:val="ru-RU"/>
        </w:rPr>
        <w:t>у разі використання</w:t>
      </w:r>
      <w:r>
        <w:rPr>
          <w:i/>
          <w:lang w:val="ru-RU"/>
        </w:rPr>
        <w:t>)</w:t>
      </w:r>
      <w:r>
        <w:rPr>
          <w:lang w:val="ru-RU"/>
        </w:rPr>
        <w:t xml:space="preserve"> з інформацією про виконання аналогічних договорів на централізовану охорону (не менше 2 договорів), надання послуг по охороні об’єктів державної власності, (з аналогічним предметом закупівлі) із зазначенням замовника, контактної інформації (адреса, телефон) з яким укладався договір. В складі тендерної пропозиції Учасник також надає копії договорів (не менше 2) </w:t>
      </w:r>
      <w:r>
        <w:rPr>
          <w:b/>
          <w:lang w:val="ru-RU"/>
        </w:rPr>
        <w:t>зі всіма додатками, які є невід’ємною частиною договору з документальним підтвердженням виконання цього договору (акти виконаних робіт/наданих послуг, які підтверджують надання цих послуг за весь період дії договору).</w:t>
      </w:r>
    </w:p>
    <w:p>
      <w:pPr>
        <w:pStyle w:val="Normal"/>
        <w:tabs>
          <w:tab w:val="clear" w:pos="709"/>
          <w:tab w:val="left" w:pos="567" w:leader="none"/>
        </w:tabs>
        <w:ind w:firstLine="672"/>
        <w:jc w:val="both"/>
        <w:rPr>
          <w:lang w:val="ru-RU"/>
        </w:rPr>
      </w:pPr>
      <w:r>
        <w:rPr>
          <w:lang w:val="ru-RU"/>
        </w:rPr>
        <w:t>7. Всі працівники Виконавця, що залучені до надання послуг охорони повинні бути забезпечені форменим одягом, спеціальними засобами індивідуального захисту та самооборони, переносними радіостанціями.</w:t>
      </w:r>
    </w:p>
    <w:p>
      <w:pPr>
        <w:pStyle w:val="Normal"/>
        <w:ind w:firstLine="709"/>
        <w:jc w:val="both"/>
        <w:rPr>
          <w:bCs/>
        </w:rPr>
      </w:pPr>
      <w:r>
        <w:rPr>
          <w:lang w:val="ru-RU"/>
        </w:rPr>
        <w:t xml:space="preserve">8. </w:t>
      </w:r>
      <w:r>
        <w:rPr>
          <w:bCs/>
        </w:rPr>
        <w:t>Забезпечити підключення діючих засобів охоронної сигналізації до пульта охорони без додаткових капіталовкладень Замовника. Встановлення  засобів  охоронної сигналізації, необхідних для надання послуг, здійснюється за рахунок Виконавця. (закупівля нового обладнання за рахунок Замовника – не передбачається).</w:t>
      </w:r>
    </w:p>
    <w:p>
      <w:pPr>
        <w:pStyle w:val="Normal"/>
        <w:tabs>
          <w:tab w:val="clear" w:pos="709"/>
          <w:tab w:val="left" w:pos="567" w:leader="none"/>
        </w:tabs>
        <w:ind w:firstLine="672"/>
        <w:jc w:val="both"/>
        <w:rPr>
          <w:lang w:val="ru-RU"/>
        </w:rPr>
      </w:pPr>
      <w:r>
        <w:rPr>
          <w:lang w:val="ru-RU"/>
        </w:rPr>
      </w:r>
    </w:p>
    <w:p>
      <w:pPr>
        <w:pStyle w:val="Normal"/>
        <w:rPr>
          <w:lang w:val="ru-RU"/>
        </w:rPr>
      </w:pPr>
      <w:r>
        <w:rPr>
          <w:lang w:val="ru-RU"/>
        </w:rPr>
      </w:r>
    </w:p>
    <w:p>
      <w:pPr>
        <w:pStyle w:val="Normal"/>
        <w:ind w:right="-1" w:firstLine="708"/>
        <w:jc w:val="both"/>
        <w:rPr>
          <w:b/>
          <w:b/>
        </w:rPr>
      </w:pPr>
      <w:r>
        <w:rPr>
          <w:b/>
        </w:rPr>
      </w:r>
    </w:p>
    <w:p>
      <w:pPr>
        <w:pStyle w:val="Normal"/>
        <w:ind w:right="-1" w:hanging="0"/>
        <w:jc w:val="both"/>
        <w:rPr/>
      </w:pPr>
      <w:r>
        <w:rPr/>
      </w:r>
    </w:p>
    <w:p>
      <w:pPr>
        <w:pStyle w:val="Normal"/>
        <w:ind w:left="720" w:hanging="0"/>
        <w:rPr>
          <w:b/>
          <w:b/>
        </w:rPr>
      </w:pPr>
      <w:r>
        <w:rPr>
          <w:b/>
        </w:rPr>
      </w:r>
    </w:p>
    <w:p>
      <w:pPr>
        <w:pStyle w:val="Normal"/>
        <w:ind w:left="720" w:hanging="0"/>
        <w:rPr>
          <w:b/>
          <w:b/>
        </w:rPr>
      </w:pPr>
      <w:r>
        <w:rPr>
          <w:b/>
        </w:rPr>
      </w:r>
    </w:p>
    <w:p>
      <w:pPr>
        <w:pStyle w:val="Normal"/>
        <w:ind w:left="720" w:hanging="0"/>
        <w:rPr>
          <w:b/>
          <w:b/>
        </w:rPr>
      </w:pPr>
      <w:r>
        <w:rPr>
          <w:b/>
        </w:rPr>
      </w:r>
      <w:bookmarkStart w:id="8" w:name="_Hlk514911502"/>
      <w:bookmarkStart w:id="9" w:name="_Hlk514911502"/>
      <w:bookmarkEnd w:id="9"/>
    </w:p>
    <w:tbl>
      <w:tblPr>
        <w:tblW w:w="5000" w:type="pct"/>
        <w:jc w:val="left"/>
        <w:tblInd w:w="0" w:type="dxa"/>
        <w:tblCellMar>
          <w:top w:w="0" w:type="dxa"/>
          <w:left w:w="108" w:type="dxa"/>
          <w:bottom w:w="0" w:type="dxa"/>
          <w:right w:w="108" w:type="dxa"/>
        </w:tblCellMar>
        <w:tblLook w:val="01e0"/>
      </w:tblPr>
      <w:tblGrid>
        <w:gridCol w:w="3722"/>
        <w:gridCol w:w="2693"/>
        <w:gridCol w:w="3304"/>
      </w:tblGrid>
      <w:tr>
        <w:trPr>
          <w:trHeight w:val="889" w:hRule="atLeast"/>
        </w:trPr>
        <w:tc>
          <w:tcPr>
            <w:tcW w:w="3722" w:type="dxa"/>
            <w:tcBorders/>
          </w:tcPr>
          <w:p>
            <w:pPr>
              <w:pStyle w:val="Normal"/>
              <w:tabs>
                <w:tab w:val="clear" w:pos="709"/>
                <w:tab w:val="left" w:pos="2160" w:leader="none"/>
                <w:tab w:val="left" w:pos="3600" w:leader="none"/>
              </w:tabs>
              <w:jc w:val="both"/>
              <w:rPr>
                <w:b/>
                <w:b/>
                <w:lang w:eastAsia="ru-RU"/>
              </w:rPr>
            </w:pPr>
            <w:r>
              <w:rPr>
                <w:b/>
                <w:lang w:eastAsia="ru-RU"/>
              </w:rPr>
            </w:r>
          </w:p>
          <w:p>
            <w:pPr>
              <w:pStyle w:val="Normal"/>
              <w:tabs>
                <w:tab w:val="clear" w:pos="709"/>
                <w:tab w:val="left" w:pos="2160" w:leader="none"/>
                <w:tab w:val="left" w:pos="3600" w:leader="none"/>
              </w:tabs>
              <w:jc w:val="both"/>
              <w:rPr>
                <w:b/>
                <w:b/>
                <w:lang w:eastAsia="ru-RU"/>
              </w:rPr>
            </w:pPr>
            <w:r>
              <w:rPr>
                <w:b/>
                <w:lang w:eastAsia="ru-RU"/>
              </w:rPr>
              <w:t>____________________________</w:t>
            </w:r>
          </w:p>
          <w:p>
            <w:pPr>
              <w:pStyle w:val="Normal"/>
              <w:tabs>
                <w:tab w:val="clear" w:pos="709"/>
                <w:tab w:val="left" w:pos="2160" w:leader="none"/>
                <w:tab w:val="left" w:pos="3600" w:leader="none"/>
              </w:tabs>
              <w:jc w:val="center"/>
              <w:rPr>
                <w:i/>
                <w:i/>
                <w:lang w:eastAsia="ru-RU"/>
              </w:rPr>
            </w:pPr>
            <w:r>
              <w:rPr>
                <w:i/>
                <w:lang w:eastAsia="ru-RU"/>
              </w:rPr>
              <w:t xml:space="preserve">Посада уповноваженої особи </w:t>
            </w:r>
          </w:p>
          <w:p>
            <w:pPr>
              <w:pStyle w:val="Normal"/>
              <w:tabs>
                <w:tab w:val="clear" w:pos="709"/>
                <w:tab w:val="left" w:pos="2160" w:leader="none"/>
                <w:tab w:val="left" w:pos="3600" w:leader="none"/>
              </w:tabs>
              <w:jc w:val="center"/>
              <w:rPr>
                <w:lang w:eastAsia="ru-RU"/>
              </w:rPr>
            </w:pPr>
            <w:r>
              <w:rPr>
                <w:i/>
                <w:lang w:eastAsia="ru-RU"/>
              </w:rPr>
              <w:t>Учасника</w:t>
            </w:r>
          </w:p>
        </w:tc>
        <w:tc>
          <w:tcPr>
            <w:tcW w:w="2693" w:type="dxa"/>
            <w:tcBorders/>
          </w:tcPr>
          <w:p>
            <w:pPr>
              <w:pStyle w:val="Normal"/>
              <w:tabs>
                <w:tab w:val="clear" w:pos="709"/>
                <w:tab w:val="left" w:pos="2160" w:leader="none"/>
                <w:tab w:val="left" w:pos="3600" w:leader="none"/>
              </w:tabs>
              <w:jc w:val="both"/>
              <w:rPr>
                <w:b/>
                <w:b/>
                <w:lang w:eastAsia="ru-RU"/>
              </w:rPr>
            </w:pPr>
            <w:r>
              <w:rPr>
                <w:b/>
                <w:lang w:eastAsia="ru-RU"/>
              </w:rPr>
            </w:r>
          </w:p>
          <w:p>
            <w:pPr>
              <w:pStyle w:val="Normal"/>
              <w:tabs>
                <w:tab w:val="clear" w:pos="709"/>
                <w:tab w:val="left" w:pos="2160" w:leader="none"/>
                <w:tab w:val="left" w:pos="3600" w:leader="none"/>
              </w:tabs>
              <w:jc w:val="both"/>
              <w:rPr>
                <w:b/>
                <w:b/>
                <w:lang w:eastAsia="ru-RU"/>
              </w:rPr>
            </w:pPr>
            <w:r>
              <w:rPr>
                <w:b/>
                <w:lang w:eastAsia="ru-RU"/>
              </w:rPr>
              <w:t>_________________</w:t>
            </w:r>
          </w:p>
          <w:p>
            <w:pPr>
              <w:pStyle w:val="Normal"/>
              <w:tabs>
                <w:tab w:val="clear" w:pos="709"/>
                <w:tab w:val="left" w:pos="2160" w:leader="none"/>
                <w:tab w:val="left" w:pos="3600" w:leader="none"/>
              </w:tabs>
              <w:jc w:val="center"/>
              <w:rPr>
                <w:i/>
                <w:i/>
                <w:lang w:eastAsia="ru-RU"/>
              </w:rPr>
            </w:pPr>
            <w:r>
              <w:rPr>
                <w:i/>
                <w:lang w:eastAsia="ru-RU"/>
              </w:rPr>
              <w:t>(підпис)</w:t>
            </w:r>
          </w:p>
          <w:p>
            <w:pPr>
              <w:pStyle w:val="Normal"/>
              <w:tabs>
                <w:tab w:val="clear" w:pos="709"/>
                <w:tab w:val="left" w:pos="2160" w:leader="none"/>
                <w:tab w:val="left" w:pos="3600" w:leader="none"/>
              </w:tabs>
              <w:jc w:val="center"/>
              <w:rPr>
                <w:b/>
                <w:b/>
                <w:lang w:eastAsia="ru-RU"/>
              </w:rPr>
            </w:pPr>
            <w:r>
              <w:rPr>
                <w:i/>
                <w:lang w:eastAsia="ru-RU"/>
              </w:rPr>
              <w:t>МП (у разі використання)</w:t>
            </w:r>
          </w:p>
        </w:tc>
        <w:tc>
          <w:tcPr>
            <w:tcW w:w="3304" w:type="dxa"/>
            <w:tcBorders/>
          </w:tcPr>
          <w:p>
            <w:pPr>
              <w:pStyle w:val="Normal"/>
              <w:tabs>
                <w:tab w:val="clear" w:pos="709"/>
                <w:tab w:val="left" w:pos="2160" w:leader="none"/>
                <w:tab w:val="left" w:pos="3600" w:leader="none"/>
              </w:tabs>
              <w:jc w:val="both"/>
              <w:rPr>
                <w:b/>
                <w:b/>
                <w:lang w:eastAsia="ru-RU"/>
              </w:rPr>
            </w:pPr>
            <w:r>
              <w:rPr>
                <w:b/>
                <w:lang w:eastAsia="ru-RU"/>
              </w:rPr>
            </w:r>
          </w:p>
          <w:p>
            <w:pPr>
              <w:pStyle w:val="Normal"/>
              <w:tabs>
                <w:tab w:val="clear" w:pos="709"/>
                <w:tab w:val="left" w:pos="2160" w:leader="none"/>
                <w:tab w:val="left" w:pos="3600" w:leader="none"/>
              </w:tabs>
              <w:jc w:val="both"/>
              <w:rPr>
                <w:b/>
                <w:b/>
                <w:lang w:eastAsia="ru-RU"/>
              </w:rPr>
            </w:pPr>
            <w:r>
              <w:rPr>
                <w:b/>
                <w:lang w:eastAsia="ru-RU"/>
              </w:rPr>
              <w:t>________________________</w:t>
            </w:r>
          </w:p>
          <w:p>
            <w:pPr>
              <w:pStyle w:val="Normal"/>
              <w:tabs>
                <w:tab w:val="clear" w:pos="709"/>
                <w:tab w:val="left" w:pos="2160" w:leader="none"/>
                <w:tab w:val="left" w:pos="3600" w:leader="none"/>
              </w:tabs>
              <w:jc w:val="center"/>
              <w:rPr>
                <w:b/>
                <w:b/>
                <w:lang w:eastAsia="ru-RU"/>
              </w:rPr>
            </w:pPr>
            <w:r>
              <w:rPr>
                <w:i/>
                <w:lang w:eastAsia="ru-RU"/>
              </w:rPr>
              <w:t>(ініціали та прізвище)</w:t>
            </w:r>
          </w:p>
        </w:tc>
      </w:tr>
    </w:tbl>
    <w:p>
      <w:pPr>
        <w:pStyle w:val="Normal"/>
        <w:rPr>
          <w:b/>
          <w:b/>
          <w:bCs/>
        </w:rPr>
      </w:pPr>
      <w:r>
        <w:rPr>
          <w:b/>
          <w:bCs/>
        </w:rPr>
      </w:r>
    </w:p>
    <w:p>
      <w:pPr>
        <w:pStyle w:val="Normal"/>
        <w:ind w:left="10" w:hanging="10"/>
        <w:rPr>
          <w:highlight w:val="white"/>
        </w:rPr>
      </w:pPr>
      <w:r>
        <w:rPr>
          <w:highlight w:val="white"/>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sz w:val="24"/>
          <w:szCs w:val="24"/>
        </w:rPr>
      </w:pPr>
      <w:r>
        <w:rPr/>
      </w:r>
    </w:p>
    <w:p>
      <w:pPr>
        <w:pStyle w:val="HTMLPreformatted"/>
        <w:shd w:val="clear" w:color="auto" w:fill="FFFFFF"/>
        <w:jc w:val="right"/>
        <w:rPr>
          <w:rFonts w:ascii="Times New Roman" w:hAnsi="Times New Roman" w:cs="Times New Roman"/>
          <w:sz w:val="24"/>
          <w:szCs w:val="24"/>
        </w:rPr>
      </w:pPr>
      <w:r>
        <w:rPr/>
      </w:r>
    </w:p>
    <w:p>
      <w:pPr>
        <w:pStyle w:val="HTMLPreformatted"/>
        <w:shd w:val="clear" w:color="auto" w:fill="FFFFFF"/>
        <w:jc w:val="right"/>
        <w:rPr>
          <w:rFonts w:ascii="Times New Roman" w:hAnsi="Times New Roman" w:cs="Times New Roman"/>
          <w:sz w:val="24"/>
          <w:szCs w:val="24"/>
        </w:rPr>
      </w:pPr>
      <w:r>
        <w:rPr/>
      </w:r>
    </w:p>
    <w:p>
      <w:pPr>
        <w:pStyle w:val="HTMLPreformatted"/>
        <w:shd w:val="clear" w:color="auto" w:fill="FFFFFF"/>
        <w:jc w:val="right"/>
        <w:rPr>
          <w:rFonts w:ascii="Times New Roman" w:hAnsi="Times New Roman" w:cs="Times New Roman"/>
          <w:sz w:val="24"/>
          <w:szCs w:val="24"/>
        </w:rPr>
      </w:pPr>
      <w:r>
        <w:rPr/>
      </w:r>
    </w:p>
    <w:p>
      <w:pPr>
        <w:pStyle w:val="HTMLPreformatted"/>
        <w:shd w:val="clear" w:color="auto" w:fill="FFFFFF"/>
        <w:jc w:val="right"/>
        <w:rPr>
          <w:rFonts w:ascii="Times New Roman" w:hAnsi="Times New Roman" w:cs="Times New Roman"/>
          <w:sz w:val="24"/>
          <w:szCs w:val="24"/>
        </w:rPr>
      </w:pPr>
      <w:r>
        <w:rPr/>
      </w:r>
    </w:p>
    <w:p>
      <w:pPr>
        <w:pStyle w:val="HTMLPreformatted"/>
        <w:shd w:val="clear" w:color="auto" w:fill="FFFFFF"/>
        <w:jc w:val="right"/>
        <w:rPr>
          <w:rFonts w:ascii="Times New Roman" w:hAnsi="Times New Roman" w:cs="Times New Roman"/>
          <w:sz w:val="24"/>
          <w:szCs w:val="24"/>
        </w:rPr>
      </w:pPr>
      <w:r>
        <w:rPr/>
      </w:r>
    </w:p>
    <w:p>
      <w:pPr>
        <w:pStyle w:val="HTMLPreformatted"/>
        <w:shd w:val="clear" w:color="auto" w:fill="FFFFFF"/>
        <w:jc w:val="right"/>
        <w:rPr>
          <w:rFonts w:ascii="Times New Roman" w:hAnsi="Times New Roman" w:cs="Times New Roman"/>
          <w:sz w:val="24"/>
          <w:szCs w:val="24"/>
        </w:rPr>
      </w:pPr>
      <w:r>
        <w:rPr>
          <w:rFonts w:cs="Times New Roman" w:ascii="Times New Roman" w:hAnsi="Times New Roman"/>
          <w:b/>
          <w:bCs/>
          <w:sz w:val="24"/>
          <w:szCs w:val="24"/>
        </w:rPr>
        <w:t>Додаток №2</w:t>
      </w:r>
    </w:p>
    <w:p>
      <w:pPr>
        <w:pStyle w:val="HTMLPreformatted"/>
        <w:shd w:val="clear" w:color="auto" w:fill="FFFFFF"/>
        <w:tabs>
          <w:tab w:val="clear" w:pos="916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280" w:leader="none"/>
          <w:tab w:val="left" w:pos="8460" w:leader="none"/>
          <w:tab w:val="left" w:pos="10076" w:leader="none"/>
          <w:tab w:val="left" w:pos="10992" w:leader="none"/>
          <w:tab w:val="left" w:pos="11908" w:leader="none"/>
          <w:tab w:val="left" w:pos="12824" w:leader="none"/>
          <w:tab w:val="left" w:pos="13740" w:leader="none"/>
          <w:tab w:val="left" w:pos="14656" w:leader="none"/>
        </w:tabs>
        <w:ind w:left="1701" w:hanging="0"/>
        <w:jc w:val="right"/>
        <w:rPr>
          <w:rFonts w:ascii="Times New Roman" w:hAnsi="Times New Roman" w:cs="Times New Roman"/>
          <w:sz w:val="24"/>
          <w:szCs w:val="24"/>
        </w:rPr>
      </w:pPr>
      <w:r>
        <w:rPr>
          <w:rFonts w:cs="Times New Roman" w:ascii="Times New Roman" w:hAnsi="Times New Roman"/>
          <w:sz w:val="24"/>
          <w:szCs w:val="24"/>
          <w:shd w:fill="FFFFFF" w:val="clear"/>
        </w:rPr>
        <w:t>до тендерної документації</w:t>
      </w:r>
    </w:p>
    <w:p>
      <w:pPr>
        <w:pStyle w:val="HTMLPreformatted"/>
        <w:shd w:val="clear" w:color="auto" w:fill="FFFFFF"/>
        <w:tabs>
          <w:tab w:val="clear" w:pos="916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280" w:leader="none"/>
          <w:tab w:val="left" w:pos="8460" w:leader="none"/>
          <w:tab w:val="left" w:pos="10076" w:leader="none"/>
          <w:tab w:val="left" w:pos="10992" w:leader="none"/>
          <w:tab w:val="left" w:pos="11908" w:leader="none"/>
          <w:tab w:val="left" w:pos="12824" w:leader="none"/>
          <w:tab w:val="left" w:pos="13740" w:leader="none"/>
          <w:tab w:val="left" w:pos="14656" w:leader="none"/>
        </w:tabs>
        <w:ind w:left="1701" w:hanging="0"/>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clear" w:pos="709"/>
          <w:tab w:val="center" w:pos="4819" w:leader="none"/>
          <w:tab w:val="right" w:pos="9639" w:leader="none"/>
        </w:tabs>
        <w:jc w:val="center"/>
        <w:rPr>
          <w:i/>
          <w:i/>
        </w:rPr>
      </w:pPr>
      <w:r>
        <w:rPr>
          <w:i/>
        </w:rPr>
        <w:t>Форма подається Учасником на фірмовому бланку (у разі його наявності), у вигляді наведеному нижче.</w:t>
      </w:r>
    </w:p>
    <w:p>
      <w:pPr>
        <w:pStyle w:val="Normal"/>
        <w:tabs>
          <w:tab w:val="clear" w:pos="709"/>
          <w:tab w:val="center" w:pos="4819" w:leader="none"/>
          <w:tab w:val="right" w:pos="9639" w:leader="none"/>
        </w:tabs>
        <w:jc w:val="center"/>
        <w:rPr>
          <w:i/>
          <w:i/>
        </w:rPr>
      </w:pPr>
      <w:r>
        <w:rPr>
          <w:i/>
        </w:rPr>
        <w:t>Учасник не повинен відступати від даної форми.</w:t>
      </w:r>
    </w:p>
    <w:p>
      <w:pPr>
        <w:pStyle w:val="Normal"/>
        <w:jc w:val="both"/>
        <w:rPr>
          <w:b/>
          <w:b/>
          <w:lang w:eastAsia="ru-RU"/>
        </w:rPr>
      </w:pPr>
      <w:r>
        <w:rPr>
          <w:b/>
          <w:lang w:eastAsia="ru-RU"/>
        </w:rPr>
      </w:r>
    </w:p>
    <w:p>
      <w:pPr>
        <w:pStyle w:val="Normal"/>
        <w:tabs>
          <w:tab w:val="clear" w:pos="709"/>
          <w:tab w:val="center" w:pos="4819" w:leader="none"/>
          <w:tab w:val="right" w:pos="9639" w:leader="none"/>
        </w:tabs>
        <w:rPr/>
      </w:pPr>
      <w:r>
        <w:rPr/>
      </w:r>
    </w:p>
    <w:p>
      <w:pPr>
        <w:pStyle w:val="Normal"/>
        <w:jc w:val="both"/>
        <w:rPr>
          <w:b/>
          <w:b/>
          <w:lang w:eastAsia="ru-RU"/>
        </w:rPr>
      </w:pPr>
      <w:r>
        <w:rPr>
          <w:b/>
          <w:lang w:eastAsia="ru-RU"/>
        </w:rPr>
      </w:r>
    </w:p>
    <w:p>
      <w:pPr>
        <w:pStyle w:val="Normal"/>
        <w:jc w:val="both"/>
        <w:rPr>
          <w:b/>
          <w:b/>
          <w:lang w:eastAsia="ru-RU"/>
        </w:rPr>
      </w:pPr>
      <w:r>
        <w:rPr>
          <w:b/>
          <w:lang w:eastAsia="ru-RU"/>
        </w:rPr>
        <w:t xml:space="preserve">                                              </w:t>
      </w:r>
      <w:r>
        <w:rPr>
          <w:b/>
          <w:lang w:eastAsia="ru-RU"/>
        </w:rPr>
        <w:t xml:space="preserve">ФОРМА «ТЕНДЕРНА ПРОПОЗИЦІЯ» </w:t>
      </w:r>
    </w:p>
    <w:p>
      <w:pPr>
        <w:pStyle w:val="Normal"/>
        <w:jc w:val="both"/>
        <w:rPr>
          <w:lang w:eastAsia="ru-RU"/>
        </w:rPr>
      </w:pPr>
      <w:r>
        <w:rPr>
          <w:lang w:eastAsia="ru-RU"/>
        </w:rPr>
      </w:r>
    </w:p>
    <w:p>
      <w:pPr>
        <w:pStyle w:val="Normal"/>
        <w:ind w:firstLine="426"/>
        <w:jc w:val="center"/>
        <w:rPr/>
      </w:pPr>
      <w:r>
        <w:rPr>
          <w:i/>
        </w:rPr>
        <w:t xml:space="preserve"> </w:t>
      </w:r>
    </w:p>
    <w:p>
      <w:pPr>
        <w:pStyle w:val="Normal"/>
        <w:ind w:firstLine="540"/>
        <w:jc w:val="both"/>
        <w:rPr/>
      </w:pPr>
      <w:r>
        <w:rPr/>
        <w:t>Ми, (назва Учасника), надаємо свою пропозицію щодо участі у відкритих торгах на закупівлю: Послуги з охорони приміщень (пультова охорона) , код ДК 021:2015 - 79710000-9 Охоронні послуги, згідно з  технічними  та  іншими вимогами Замовника торгів.</w:t>
      </w:r>
    </w:p>
    <w:p>
      <w:pPr>
        <w:pStyle w:val="Normal"/>
        <w:jc w:val="both"/>
        <w:rPr/>
      </w:pPr>
      <w:r>
        <w:rPr/>
        <w:t>Повне найменування Учасника:_________________________________________________;</w:t>
      </w:r>
    </w:p>
    <w:p>
      <w:pPr>
        <w:pStyle w:val="Normal"/>
        <w:jc w:val="both"/>
        <w:rPr/>
      </w:pPr>
      <w:r>
        <w:rPr/>
        <w:t>Адреса (фактична, юридична, поштова):__________________________________________;</w:t>
      </w:r>
    </w:p>
    <w:p>
      <w:pPr>
        <w:pStyle w:val="Normal"/>
        <w:jc w:val="both"/>
        <w:rPr/>
      </w:pPr>
      <w:r>
        <w:rPr/>
        <w:t>Тел./факс:____________________________________________________________________;</w:t>
      </w:r>
    </w:p>
    <w:p>
      <w:pPr>
        <w:pStyle w:val="Normal"/>
        <w:jc w:val="both"/>
        <w:rPr>
          <w:b/>
          <w:b/>
          <w:u w:val="single"/>
        </w:rPr>
      </w:pPr>
      <w:r>
        <w:rPr/>
        <w:t>Керівник: ____________________________________________________________________;</w:t>
      </w:r>
    </w:p>
    <w:p>
      <w:pPr>
        <w:pStyle w:val="Normal"/>
        <w:tabs>
          <w:tab w:val="clear" w:pos="709"/>
          <w:tab w:val="left" w:pos="0" w:leader="none"/>
          <w:tab w:val="center" w:pos="4153" w:leader="none"/>
          <w:tab w:val="right" w:pos="8306" w:leader="none"/>
        </w:tabs>
        <w:ind w:firstLine="540"/>
        <w:jc w:val="both"/>
        <w:rPr/>
      </w:pPr>
      <w:r>
        <w:rPr>
          <w:b/>
          <w:u w:val="single"/>
        </w:rPr>
        <w:t>Вивчивши тендерну документацію та вимоги Замовника торгів</w:t>
      </w:r>
      <w:r>
        <w:rPr/>
        <w:t xml:space="preserve">,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pPr>
        <w:pStyle w:val="Normal"/>
        <w:jc w:val="both"/>
        <w:rPr>
          <w:b/>
          <w:b/>
          <w:lang w:eastAsia="ru-RU"/>
        </w:rPr>
      </w:pPr>
      <w:r>
        <w:rPr>
          <w:b/>
          <w:lang w:eastAsia="ru-RU"/>
        </w:rPr>
      </w:r>
    </w:p>
    <w:tbl>
      <w:tblPr>
        <w:tblW w:w="9705" w:type="dxa"/>
        <w:jc w:val="left"/>
        <w:tblInd w:w="-72" w:type="dxa"/>
        <w:tblCellMar>
          <w:top w:w="0" w:type="dxa"/>
          <w:left w:w="108" w:type="dxa"/>
          <w:bottom w:w="0" w:type="dxa"/>
          <w:right w:w="108" w:type="dxa"/>
        </w:tblCellMar>
        <w:tblLook w:val="01e0"/>
      </w:tblPr>
      <w:tblGrid>
        <w:gridCol w:w="5454"/>
        <w:gridCol w:w="4250"/>
      </w:tblGrid>
      <w:tr>
        <w:trPr/>
        <w:tc>
          <w:tcPr>
            <w:tcW w:w="970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center"/>
              <w:rPr>
                <w:b/>
                <w:b/>
                <w:lang w:eastAsia="ru-RU"/>
              </w:rPr>
            </w:pPr>
            <w:r>
              <w:rPr>
                <w:b/>
                <w:lang w:eastAsia="ru-RU"/>
              </w:rPr>
              <w:t>Відомості про Учасника процедури закупівлі</w:t>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Повне найменування  Учасника</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Керівництво (ПІБ, посада, контактні телефони)</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 xml:space="preserve">Ідентифікаційний код за ЄДРПОУ </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Місце знаходження</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Банківські реквізити</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РНОКПП (ідентифікаційний номер (для учасників фізичних осіб, у тому числі фізичних осіб – підприємців))</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Особа відповідальна здійснювати зв'язок з Замовником (ПІБ, посада, контактні телефони)</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rHeight w:val="178" w:hRule="atLeast"/>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Факс  (за наявності)</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Електронна адреса (за наявності)</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r>
        <w:trPr/>
        <w:tc>
          <w:tcPr>
            <w:tcW w:w="545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rPr>
                <w:lang w:eastAsia="ru-RU"/>
              </w:rPr>
            </w:pPr>
            <w:r>
              <w:rPr>
                <w:lang w:eastAsia="ru-RU"/>
              </w:rPr>
              <w:t xml:space="preserve">Адреса власного веб-порталу (за наявності) </w:t>
            </w:r>
          </w:p>
        </w:tc>
        <w:tc>
          <w:tcPr>
            <w:tcW w:w="425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160" w:leader="none"/>
                <w:tab w:val="left" w:pos="3600" w:leader="none"/>
              </w:tabs>
              <w:jc w:val="both"/>
              <w:rPr>
                <w:color w:val="0000FF"/>
                <w:lang w:eastAsia="ru-RU"/>
              </w:rPr>
            </w:pPr>
            <w:r>
              <w:rPr>
                <w:color w:val="0000FF"/>
                <w:lang w:eastAsia="ru-RU"/>
              </w:rPr>
            </w:r>
          </w:p>
        </w:tc>
      </w:tr>
    </w:tbl>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b/>
          <w:b/>
          <w:lang w:eastAsia="ru-RU"/>
        </w:rPr>
      </w:pPr>
      <w:r>
        <w:rPr>
          <w:b/>
          <w:lang w:eastAsia="ru-RU"/>
        </w:rPr>
      </w:r>
    </w:p>
    <w:p>
      <w:pPr>
        <w:pStyle w:val="Normal"/>
        <w:jc w:val="both"/>
        <w:rPr>
          <w:lang w:val="ru-RU" w:eastAsia="ru-RU"/>
        </w:rPr>
      </w:pPr>
      <w:r>
        <w:rPr>
          <w:lang w:val="ru-RU" w:eastAsia="ru-RU"/>
        </w:rPr>
      </w:r>
    </w:p>
    <w:tbl>
      <w:tblPr>
        <w:tblW w:w="10038" w:type="dxa"/>
        <w:jc w:val="left"/>
        <w:tblInd w:w="-432" w:type="dxa"/>
        <w:tblCellMar>
          <w:top w:w="0" w:type="dxa"/>
          <w:left w:w="108" w:type="dxa"/>
          <w:bottom w:w="0" w:type="dxa"/>
          <w:right w:w="108" w:type="dxa"/>
        </w:tblCellMar>
        <w:tblLook w:val="00a0"/>
      </w:tblPr>
      <w:tblGrid>
        <w:gridCol w:w="534"/>
        <w:gridCol w:w="3119"/>
        <w:gridCol w:w="2555"/>
        <w:gridCol w:w="2129"/>
        <w:gridCol w:w="1701"/>
      </w:tblGrid>
      <w:tr>
        <w:trPr>
          <w:trHeight w:val="2313" w:hRule="exac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Назва об</w:t>
            </w:r>
            <w:r>
              <w:rPr>
                <w:lang w:val="ru-RU" w:eastAsia="uk-UA"/>
              </w:rPr>
              <w:t>’</w:t>
            </w:r>
            <w:r>
              <w:rPr>
                <w:lang w:eastAsia="uk-UA"/>
              </w:rPr>
              <w:t>єкта охорони</w:t>
            </w:r>
          </w:p>
          <w:p>
            <w:pPr>
              <w:pStyle w:val="Normal"/>
              <w:shd w:val="clear" w:color="auto" w:fill="FFFFFF"/>
              <w:jc w:val="center"/>
              <w:rPr>
                <w:lang w:eastAsia="uk-UA"/>
              </w:rPr>
            </w:pPr>
            <w:r>
              <w:rPr>
                <w:lang w:eastAsia="uk-UA"/>
              </w:rPr>
              <w:t xml:space="preserve">структурних підрозділів </w:t>
            </w:r>
            <w:r>
              <w:rPr>
                <w:sz w:val="23"/>
                <w:szCs w:val="23"/>
              </w:rPr>
              <w:t>Головного управління Пенсійного фонду України в Тернопільській області</w:t>
            </w:r>
          </w:p>
        </w:tc>
        <w:tc>
          <w:tcPr>
            <w:tcW w:w="2555"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Адреса об</w:t>
            </w:r>
            <w:r>
              <w:rPr>
                <w:lang w:val="en-US" w:eastAsia="uk-UA"/>
              </w:rPr>
              <w:t>’</w:t>
            </w:r>
            <w:r>
              <w:rPr>
                <w:lang w:eastAsia="uk-UA"/>
              </w:rPr>
              <w:t>єкта</w:t>
            </w:r>
          </w:p>
        </w:tc>
        <w:tc>
          <w:tcPr>
            <w:tcW w:w="2129"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exact" w:line="274"/>
              <w:ind w:left="91" w:hanging="0"/>
              <w:jc w:val="center"/>
              <w:rPr>
                <w:lang w:eastAsia="ru-RU"/>
              </w:rPr>
            </w:pPr>
            <w:r>
              <w:rPr>
                <w:lang w:eastAsia="ru-RU"/>
              </w:rPr>
              <w:t>Графік надання послуг</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exact" w:line="274"/>
              <w:jc w:val="center"/>
              <w:rPr>
                <w:highlight w:val="green"/>
                <w:lang w:eastAsia="ru-RU"/>
              </w:rPr>
            </w:pPr>
            <w:r>
              <w:rPr>
                <w:lang w:eastAsia="ru-RU"/>
              </w:rPr>
              <w:t>Цінова пропозиція з ПДВ (у разі якщо Учасник є платником ПДВ) грн.</w:t>
            </w:r>
          </w:p>
        </w:tc>
      </w:tr>
      <w:tr>
        <w:trPr>
          <w:trHeight w:val="2132"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19" w:type="dxa"/>
            <w:tcBorders/>
            <w:tcMar>
              <w:top w:w="55" w:type="dxa"/>
              <w:left w:w="55" w:type="dxa"/>
              <w:bottom w:w="55" w:type="dxa"/>
              <w:right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№1</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м.Бережани,    </w:t>
            </w:r>
          </w:p>
          <w:p>
            <w:pPr>
              <w:pStyle w:val="Normal"/>
              <w:ind w:right="141" w:hanging="0"/>
              <w:jc w:val="both"/>
              <w:rPr>
                <w:sz w:val="23"/>
                <w:szCs w:val="23"/>
              </w:rPr>
            </w:pPr>
            <w:r>
              <w:rPr>
                <w:sz w:val="23"/>
                <w:szCs w:val="23"/>
              </w:rPr>
              <w:t>вул. Шевченка, 13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965"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2</w:t>
            </w:r>
          </w:p>
        </w:tc>
        <w:tc>
          <w:tcPr>
            <w:tcW w:w="3119" w:type="dxa"/>
            <w:tcBorders/>
            <w:tcMar>
              <w:top w:w="55" w:type="dxa"/>
              <w:left w:w="55" w:type="dxa"/>
              <w:bottom w:w="55" w:type="dxa"/>
              <w:right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№2</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Борщів, </w:t>
            </w:r>
          </w:p>
          <w:p>
            <w:pPr>
              <w:pStyle w:val="Normal"/>
              <w:ind w:right="141" w:hanging="0"/>
              <w:jc w:val="both"/>
              <w:rPr>
                <w:sz w:val="23"/>
                <w:szCs w:val="23"/>
              </w:rPr>
            </w:pPr>
            <w:r>
              <w:rPr>
                <w:sz w:val="23"/>
                <w:szCs w:val="23"/>
              </w:rPr>
              <w:t>вул С.Бандери, 19 а</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823"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3</w:t>
            </w:r>
          </w:p>
        </w:tc>
        <w:tc>
          <w:tcPr>
            <w:tcW w:w="3119" w:type="dxa"/>
            <w:tcBorders/>
            <w:tcMar>
              <w:top w:w="55" w:type="dxa"/>
              <w:left w:w="55" w:type="dxa"/>
              <w:bottom w:w="55" w:type="dxa"/>
              <w:right w:w="55" w:type="dxa"/>
            </w:tcMar>
            <w:vAlign w:val="center"/>
          </w:tcPr>
          <w:p>
            <w:pPr>
              <w:pStyle w:val="Normal"/>
              <w:snapToGrid w:val="false"/>
              <w:spacing w:lineRule="auto" w:line="252"/>
              <w:ind w:right="-133" w:hanging="0"/>
              <w:rPr>
                <w:sz w:val="23"/>
                <w:szCs w:val="23"/>
              </w:rPr>
            </w:pPr>
            <w:r>
              <w:rPr>
                <w:sz w:val="23"/>
                <w:szCs w:val="23"/>
              </w:rPr>
              <w:t>Відділ обслуговування громадян №3</w:t>
            </w:r>
          </w:p>
          <w:p>
            <w:pPr>
              <w:pStyle w:val="Normal"/>
              <w:snapToGrid w:val="false"/>
              <w:spacing w:lineRule="auto" w:line="252"/>
              <w:ind w:right="-133" w:hanging="0"/>
              <w:rPr>
                <w:sz w:val="23"/>
                <w:szCs w:val="23"/>
              </w:rPr>
            </w:pPr>
            <w:r>
              <w:rPr>
                <w:sz w:val="23"/>
                <w:szCs w:val="23"/>
              </w:rPr>
              <w:t xml:space="preserve"> </w:t>
            </w:r>
            <w:r>
              <w:rPr>
                <w:sz w:val="23"/>
                <w:szCs w:val="23"/>
              </w:rPr>
              <w:t>(сервісний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 Бучач,</w:t>
            </w:r>
          </w:p>
          <w:p>
            <w:pPr>
              <w:pStyle w:val="Normal"/>
              <w:ind w:right="141" w:hanging="0"/>
              <w:jc w:val="both"/>
              <w:rPr>
                <w:sz w:val="23"/>
                <w:szCs w:val="23"/>
              </w:rPr>
            </w:pPr>
            <w:r>
              <w:rPr>
                <w:sz w:val="23"/>
                <w:szCs w:val="23"/>
              </w:rPr>
              <w:t xml:space="preserve"> </w:t>
            </w:r>
            <w:r>
              <w:rPr>
                <w:sz w:val="23"/>
                <w:szCs w:val="23"/>
              </w:rPr>
              <w:t>вул. Г.Шухевича,1</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37"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4</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19" w:type="dxa"/>
            <w:tcBorders/>
            <w:tcMar>
              <w:top w:w="55" w:type="dxa"/>
              <w:left w:w="55" w:type="dxa"/>
              <w:bottom w:w="55" w:type="dxa"/>
              <w:right w:w="55" w:type="dxa"/>
            </w:tcMar>
          </w:tcPr>
          <w:p>
            <w:pPr>
              <w:pStyle w:val="Normal"/>
              <w:ind w:right="141" w:hanging="0"/>
              <w:rPr>
                <w:sz w:val="23"/>
                <w:szCs w:val="23"/>
              </w:rPr>
            </w:pPr>
            <w:r>
              <w:rPr>
                <w:sz w:val="23"/>
                <w:szCs w:val="23"/>
              </w:rPr>
              <w:t>Відділ обслуговування громадян №4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смт.Гусятин,                          вул. Незалежності,50</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12"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5</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№12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м.Заліщики, вул.Грушевського,12</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23"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6</w:t>
            </w:r>
          </w:p>
          <w:p>
            <w:pPr>
              <w:pStyle w:val="Normal"/>
              <w:rPr>
                <w:lang w:val="ru-RU" w:eastAsia="ru-RU"/>
              </w:rPr>
            </w:pPr>
            <w:r>
              <w:rPr>
                <w:lang w:val="ru-RU"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№8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Збараж, </w:t>
            </w:r>
          </w:p>
          <w:p>
            <w:pPr>
              <w:pStyle w:val="Normal"/>
              <w:ind w:right="141" w:hanging="0"/>
              <w:jc w:val="both"/>
              <w:rPr>
                <w:sz w:val="23"/>
                <w:szCs w:val="23"/>
              </w:rPr>
            </w:pPr>
            <w:r>
              <w:rPr>
                <w:sz w:val="23"/>
                <w:szCs w:val="23"/>
              </w:rPr>
              <w:t>вул. Грушевського,3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26"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7</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№5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м.Зборів, </w:t>
            </w:r>
          </w:p>
          <w:p>
            <w:pPr>
              <w:pStyle w:val="Normal"/>
              <w:ind w:right="141" w:hanging="0"/>
              <w:jc w:val="both"/>
              <w:rPr>
                <w:sz w:val="23"/>
                <w:szCs w:val="23"/>
              </w:rPr>
            </w:pPr>
            <w:r>
              <w:rPr>
                <w:sz w:val="23"/>
                <w:szCs w:val="23"/>
              </w:rPr>
              <w:t>вул. Гоголя,40</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9"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8</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№5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смт. Козова, </w:t>
            </w:r>
          </w:p>
          <w:p>
            <w:pPr>
              <w:pStyle w:val="Normal"/>
              <w:ind w:right="141" w:hanging="0"/>
              <w:jc w:val="both"/>
              <w:rPr>
                <w:sz w:val="23"/>
                <w:szCs w:val="23"/>
              </w:rPr>
            </w:pPr>
            <w:r>
              <w:rPr>
                <w:sz w:val="23"/>
                <w:szCs w:val="23"/>
              </w:rPr>
              <w:t>вул. Грушевського, 26</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59"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9</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№6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м.Кременець, </w:t>
            </w:r>
          </w:p>
          <w:p>
            <w:pPr>
              <w:pStyle w:val="Normal"/>
              <w:ind w:right="141" w:hanging="0"/>
              <w:jc w:val="both"/>
              <w:rPr>
                <w:sz w:val="23"/>
                <w:szCs w:val="23"/>
              </w:rPr>
            </w:pPr>
            <w:r>
              <w:rPr>
                <w:sz w:val="23"/>
                <w:szCs w:val="23"/>
              </w:rPr>
              <w:t>вул. Чорновола,2</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3"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10</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№7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м.Ланівці,  </w:t>
            </w:r>
          </w:p>
          <w:p>
            <w:pPr>
              <w:pStyle w:val="Normal"/>
              <w:ind w:right="141" w:hanging="0"/>
              <w:jc w:val="both"/>
              <w:rPr>
                <w:sz w:val="23"/>
                <w:szCs w:val="23"/>
              </w:rPr>
            </w:pPr>
            <w:r>
              <w:rPr>
                <w:sz w:val="23"/>
                <w:szCs w:val="23"/>
              </w:rPr>
              <w:t>вул. Грушевського,13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40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11</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№3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Монастириська,     </w:t>
            </w:r>
          </w:p>
          <w:p>
            <w:pPr>
              <w:pStyle w:val="Normal"/>
              <w:ind w:right="141" w:hanging="0"/>
              <w:jc w:val="both"/>
              <w:rPr/>
            </w:pPr>
            <w:r>
              <w:rPr/>
              <w:t xml:space="preserve"> </w:t>
            </w:r>
            <w:r>
              <w:rPr/>
              <w:t>вул. С.Бандери,1</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5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12</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№8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смт.Підволочиськ, </w:t>
            </w:r>
          </w:p>
          <w:p>
            <w:pPr>
              <w:pStyle w:val="Normal"/>
              <w:ind w:right="141" w:hanging="0"/>
              <w:jc w:val="both"/>
              <w:rPr/>
            </w:pPr>
            <w:r>
              <w:rPr/>
              <w:t>вул.Д.Галицького,67.</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13</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№1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Підгайці, </w:t>
            </w:r>
          </w:p>
          <w:p>
            <w:pPr>
              <w:pStyle w:val="Normal"/>
              <w:ind w:right="141" w:hanging="0"/>
              <w:jc w:val="both"/>
              <w:rPr/>
            </w:pPr>
            <w:r>
              <w:rPr/>
              <w:t>вул. Шевченка,22</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412"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14</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№9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м.Теребовля, </w:t>
            </w:r>
          </w:p>
          <w:p>
            <w:pPr>
              <w:pStyle w:val="Normal"/>
              <w:ind w:right="141" w:hanging="0"/>
              <w:jc w:val="both"/>
              <w:rPr/>
            </w:pPr>
            <w:r>
              <w:rPr/>
              <w:t>вул. 22 Січня,17</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60"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15</w:t>
            </w:r>
          </w:p>
        </w:tc>
        <w:tc>
          <w:tcPr>
            <w:tcW w:w="3119" w:type="dxa"/>
            <w:tcBorders/>
            <w:tcMar>
              <w:top w:w="55" w:type="dxa"/>
              <w:bottom w:w="55" w:type="dxa"/>
            </w:tcMar>
          </w:tcPr>
          <w:p>
            <w:pPr>
              <w:pStyle w:val="Normal"/>
              <w:ind w:right="141" w:hanging="0"/>
              <w:rPr>
                <w:sz w:val="23"/>
                <w:szCs w:val="23"/>
              </w:rPr>
            </w:pPr>
            <w:r>
              <w:rPr>
                <w:sz w:val="23"/>
                <w:szCs w:val="23"/>
              </w:rPr>
              <w:t>Відділ обслуговування громадян №10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Тернопіль, </w:t>
            </w:r>
          </w:p>
          <w:p>
            <w:pPr>
              <w:pStyle w:val="Normal"/>
              <w:ind w:right="141" w:hanging="0"/>
              <w:jc w:val="both"/>
              <w:rPr/>
            </w:pPr>
            <w:r>
              <w:rPr/>
              <w:t>вул. Кривоноса, 10</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40"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16</w:t>
            </w:r>
          </w:p>
        </w:tc>
        <w:tc>
          <w:tcPr>
            <w:tcW w:w="3119" w:type="dxa"/>
            <w:tcBorders/>
            <w:tcMar>
              <w:top w:w="55" w:type="dxa"/>
              <w:left w:w="55" w:type="dxa"/>
              <w:bottom w:w="55" w:type="dxa"/>
              <w:right w:w="55" w:type="dxa"/>
            </w:tcMar>
          </w:tcPr>
          <w:p>
            <w:pPr>
              <w:pStyle w:val="Normal"/>
              <w:ind w:right="141" w:hanging="0"/>
              <w:rPr>
                <w:sz w:val="23"/>
                <w:szCs w:val="23"/>
              </w:rPr>
            </w:pPr>
            <w:r>
              <w:rPr>
                <w:sz w:val="23"/>
                <w:szCs w:val="23"/>
              </w:rPr>
              <w:t>Відділ обслуговування громадян №12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Чортків, </w:t>
            </w:r>
          </w:p>
          <w:p>
            <w:pPr>
              <w:pStyle w:val="Normal"/>
              <w:ind w:right="141" w:hanging="0"/>
              <w:jc w:val="both"/>
              <w:rPr/>
            </w:pPr>
            <w:r>
              <w:rPr/>
              <w:t>вул. Шевченка,34</w:t>
            </w:r>
          </w:p>
          <w:p>
            <w:pPr>
              <w:pStyle w:val="Normal"/>
              <w:ind w:right="141" w:hanging="0"/>
              <w:jc w:val="both"/>
              <w:rPr/>
            </w:pPr>
            <w:r>
              <w:rPr/>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4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17</w:t>
            </w:r>
          </w:p>
        </w:tc>
        <w:tc>
          <w:tcPr>
            <w:tcW w:w="3119" w:type="dxa"/>
            <w:tcBorders/>
            <w:tcMar>
              <w:top w:w="55" w:type="dxa"/>
              <w:left w:w="55" w:type="dxa"/>
              <w:bottom w:w="55" w:type="dxa"/>
              <w:right w:w="55" w:type="dxa"/>
            </w:tcMar>
          </w:tcPr>
          <w:p>
            <w:pPr>
              <w:pStyle w:val="Normal"/>
              <w:ind w:right="141" w:hanging="0"/>
              <w:rPr>
                <w:sz w:val="23"/>
                <w:szCs w:val="23"/>
              </w:rPr>
            </w:pPr>
            <w:r>
              <w:rPr>
                <w:sz w:val="23"/>
                <w:szCs w:val="23"/>
              </w:rPr>
              <w:t>Відділ обслуговування громадян №7 (сервісний центр)</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м.Шумськ, </w:t>
            </w:r>
          </w:p>
          <w:p>
            <w:pPr>
              <w:pStyle w:val="Normal"/>
              <w:ind w:right="141" w:hanging="0"/>
              <w:jc w:val="both"/>
              <w:rPr/>
            </w:pPr>
            <w:r>
              <w:rPr/>
              <w:t>вул. І.Франка,34а</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313"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18</w:t>
            </w:r>
          </w:p>
        </w:tc>
        <w:tc>
          <w:tcPr>
            <w:tcW w:w="3119" w:type="dxa"/>
            <w:tcBorders/>
            <w:tcMar>
              <w:top w:w="55" w:type="dxa"/>
              <w:left w:w="55" w:type="dxa"/>
              <w:bottom w:w="55" w:type="dxa"/>
              <w:right w:w="55" w:type="dxa"/>
            </w:tcMar>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м. Тернопіль,  Майдан Волі, 3</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18.00-07.30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17.00-07.30</w:t>
            </w:r>
          </w:p>
          <w:p>
            <w:pPr>
              <w:pStyle w:val="Normal"/>
              <w:jc w:val="center"/>
              <w:rPr>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8" w:hRule="exact"/>
        </w:trPr>
        <w:tc>
          <w:tcPr>
            <w:tcW w:w="534"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val="en-US" w:eastAsia="ru-RU"/>
              </w:rPr>
              <w:t>19</w:t>
            </w:r>
          </w:p>
        </w:tc>
        <w:tc>
          <w:tcPr>
            <w:tcW w:w="3119" w:type="dxa"/>
            <w:tcBorders/>
            <w:tcMar>
              <w:top w:w="55" w:type="dxa"/>
              <w:left w:w="55" w:type="dxa"/>
              <w:bottom w:w="55" w:type="dxa"/>
              <w:right w:w="55" w:type="dxa"/>
            </w:tcMar>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2555"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pPr>
            <w:r>
              <w:rPr/>
              <w:t xml:space="preserve">м. Тернопіль, </w:t>
            </w:r>
          </w:p>
          <w:p>
            <w:pPr>
              <w:pStyle w:val="Normal"/>
              <w:ind w:right="141" w:hanging="0"/>
              <w:jc w:val="both"/>
              <w:rPr/>
            </w:pPr>
            <w:r>
              <w:rPr/>
              <w:t>вул. Лисенка,1</w:t>
            </w:r>
          </w:p>
        </w:tc>
        <w:tc>
          <w:tcPr>
            <w:tcW w:w="21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16.00-08.00</w:t>
            </w:r>
          </w:p>
          <w:p>
            <w:pPr>
              <w:pStyle w:val="Normal"/>
              <w:suppressAutoHyphens w:val="false"/>
              <w:snapToGrid w:val="false"/>
              <w:spacing w:lineRule="auto" w:line="252"/>
              <w:ind w:left="79" w:hanging="0"/>
              <w:jc w:val="center"/>
              <w:rPr>
                <w:color w:val="000000"/>
                <w:lang w:eastAsia="ru-RU"/>
              </w:rPr>
            </w:pPr>
            <w:r>
              <w:rPr>
                <w:color w:val="000000"/>
                <w:lang w:eastAsia="ru-RU"/>
              </w:rPr>
              <w:t>Вихідні, святкові: цілодобово</w:t>
            </w:r>
          </w:p>
        </w:tc>
        <w:tc>
          <w:tcPr>
            <w:tcW w:w="170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673" w:hRule="atLeast"/>
        </w:trPr>
        <w:tc>
          <w:tcPr>
            <w:tcW w:w="8337" w:type="dxa"/>
            <w:gridSpan w:val="4"/>
            <w:tcBorders>
              <w:top w:val="single" w:sz="4" w:space="0" w:color="000000"/>
              <w:left w:val="single" w:sz="4" w:space="0" w:color="000000"/>
              <w:bottom w:val="single" w:sz="4" w:space="0" w:color="000000"/>
              <w:right w:val="single" w:sz="4" w:space="0" w:color="000000"/>
            </w:tcBorders>
          </w:tcPr>
          <w:p>
            <w:pPr>
              <w:pStyle w:val="Normal"/>
              <w:jc w:val="both"/>
              <w:rPr>
                <w:bCs/>
              </w:rPr>
            </w:pPr>
            <w:r>
              <w:rPr>
                <w:bCs/>
              </w:rPr>
              <w:t>Всього:</w:t>
            </w:r>
          </w:p>
        </w:tc>
        <w:tc>
          <w:tcPr>
            <w:tcW w:w="1701"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bCs/>
              </w:rPr>
            </w:r>
          </w:p>
        </w:tc>
      </w:tr>
      <w:tr>
        <w:trPr>
          <w:trHeight w:val="673" w:hRule="atLeast"/>
        </w:trPr>
        <w:tc>
          <w:tcPr>
            <w:tcW w:w="8337" w:type="dxa"/>
            <w:gridSpan w:val="4"/>
            <w:tcBorders>
              <w:top w:val="single" w:sz="4" w:space="0" w:color="000000"/>
              <w:left w:val="single" w:sz="4" w:space="0" w:color="000000"/>
              <w:bottom w:val="single" w:sz="4" w:space="0" w:color="000000"/>
              <w:right w:val="single" w:sz="4" w:space="0" w:color="000000"/>
            </w:tcBorders>
          </w:tcPr>
          <w:p>
            <w:pPr>
              <w:pStyle w:val="Normal"/>
              <w:jc w:val="both"/>
              <w:rPr>
                <w:bCs/>
              </w:rPr>
            </w:pPr>
            <w:r>
              <w:rPr>
                <w:bCs/>
              </w:rPr>
            </w:r>
          </w:p>
        </w:tc>
        <w:tc>
          <w:tcPr>
            <w:tcW w:w="1701"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bCs/>
              </w:rPr>
            </w:r>
          </w:p>
        </w:tc>
      </w:tr>
      <w:tr>
        <w:trPr>
          <w:trHeight w:val="673" w:hRule="atLeast"/>
        </w:trPr>
        <w:tc>
          <w:tcPr>
            <w:tcW w:w="8337" w:type="dxa"/>
            <w:gridSpan w:val="4"/>
            <w:tcBorders>
              <w:top w:val="single" w:sz="4" w:space="0" w:color="000000"/>
              <w:left w:val="single" w:sz="4" w:space="0" w:color="000000"/>
              <w:bottom w:val="single" w:sz="4" w:space="0" w:color="000000"/>
              <w:right w:val="single" w:sz="4" w:space="0" w:color="000000"/>
            </w:tcBorders>
          </w:tcPr>
          <w:p>
            <w:pPr>
              <w:pStyle w:val="Normal"/>
              <w:jc w:val="both"/>
              <w:rPr>
                <w:bCs/>
              </w:rPr>
            </w:pPr>
            <w:r>
              <w:rPr>
                <w:bCs/>
              </w:rPr>
            </w:r>
          </w:p>
        </w:tc>
        <w:tc>
          <w:tcPr>
            <w:tcW w:w="1701"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bCs/>
              </w:rPr>
            </w:r>
          </w:p>
        </w:tc>
      </w:tr>
    </w:tbl>
    <w:p>
      <w:pPr>
        <w:pStyle w:val="Normal"/>
        <w:ind w:firstLine="436"/>
        <w:jc w:val="both"/>
        <w:rPr>
          <w:bCs/>
        </w:rPr>
      </w:pPr>
      <w:r>
        <w:rPr>
          <w:bCs/>
        </w:rPr>
      </w:r>
    </w:p>
    <w:p>
      <w:pPr>
        <w:pStyle w:val="Normal"/>
        <w:ind w:firstLine="624"/>
        <w:jc w:val="both"/>
        <w:rPr>
          <w:bCs/>
        </w:rPr>
      </w:pPr>
      <w:r>
        <w:rPr>
          <w:bCs/>
        </w:rPr>
        <w:t xml:space="preserve">Вивчивши тендерну документацію та технічні характеристики, ми погоджуємось з усіма її вимогами та уповноважені на підписання Договору, маємо можливість та погоджуємося виконати вимоги Замовника та Договору на </w:t>
      </w:r>
      <w:r>
        <w:rPr>
          <w:b/>
          <w:bCs/>
        </w:rPr>
        <w:t>загальну суму</w:t>
      </w:r>
      <w:r>
        <w:rPr>
          <w:bCs/>
        </w:rPr>
        <w:t>: _______________ (сума, цифрами і прописом) грн., у тому числі ПДВ – __________грн. (якщо передбачено), (</w:t>
      </w:r>
      <w:bookmarkStart w:id="10" w:name="_Hlk514744205"/>
      <w:r>
        <w:rPr>
          <w:bCs/>
        </w:rPr>
        <w:t>з урахуванням податків і зборів, усіх інших витрат, що сплачуються</w:t>
      </w:r>
      <w:bookmarkEnd w:id="10"/>
      <w:r>
        <w:rPr>
          <w:bCs/>
        </w:rPr>
        <w:t>).</w:t>
      </w:r>
      <w:r>
        <w:rPr>
          <w:spacing w:val="-2"/>
          <w:lang w:eastAsia="ru-RU"/>
        </w:rPr>
        <w:t xml:space="preserve"> </w:t>
      </w:r>
    </w:p>
    <w:p>
      <w:pPr>
        <w:pStyle w:val="Normal"/>
        <w:tabs>
          <w:tab w:val="clear" w:pos="709"/>
          <w:tab w:val="left" w:pos="851" w:leader="none"/>
        </w:tabs>
        <w:suppressAutoHyphens w:val="false"/>
        <w:spacing w:before="0" w:after="0"/>
        <w:ind w:firstLine="624"/>
        <w:contextualSpacing/>
        <w:jc w:val="both"/>
        <w:rPr>
          <w:lang w:eastAsia="ru-RU"/>
        </w:rPr>
      </w:pPr>
      <w:r>
        <w:rPr>
          <w:lang w:eastAsia="ru-RU"/>
        </w:rPr>
        <w:t>Ми погоджуємося дотримуватися умов цієї тендерної пропозиції, яка буде обов'язковою для нас і  Замовник може прийняти рішення про намір укласти договір у будь-який час до закінчення зазначеного терміну.</w:t>
      </w:r>
    </w:p>
    <w:p>
      <w:pPr>
        <w:pStyle w:val="Normal"/>
        <w:tabs>
          <w:tab w:val="clear" w:pos="709"/>
          <w:tab w:val="left" w:pos="851" w:leader="none"/>
        </w:tabs>
        <w:suppressAutoHyphens w:val="false"/>
        <w:ind w:firstLine="624"/>
        <w:jc w:val="both"/>
        <w:rPr>
          <w:lang w:eastAsia="ru-RU"/>
        </w:rPr>
      </w:pPr>
      <w:r>
        <w:rPr>
          <w:lang w:eastAsia="ru-RU"/>
        </w:rPr>
        <w:t>Ми погоджуємося з умовами, що Ви можете відхилити нашу тендерну пропозицію  згідно з умовами тендерної документації.</w:t>
      </w:r>
    </w:p>
    <w:p>
      <w:pPr>
        <w:pStyle w:val="Normal"/>
        <w:tabs>
          <w:tab w:val="clear" w:pos="709"/>
          <w:tab w:val="left" w:pos="851" w:leader="none"/>
        </w:tabs>
        <w:suppressAutoHyphens w:val="false"/>
        <w:ind w:firstLine="624"/>
        <w:jc w:val="both"/>
        <w:rPr>
          <w:lang w:eastAsia="ru-RU"/>
        </w:rPr>
      </w:pPr>
      <w:r>
        <w:rPr>
          <w:lang w:eastAsia="ru-RU"/>
        </w:rPr>
        <w:t xml:space="preserve">Якщо Замовник визнає нас переможцем та прийме рішення про намір укласти договір про надання </w:t>
      </w:r>
      <w:r>
        <w:rPr/>
        <w:t xml:space="preserve">Послуг з охорони приміщень (пультова охорона) </w:t>
      </w:r>
      <w:r>
        <w:rPr>
          <w:lang w:eastAsia="ru-RU"/>
        </w:rPr>
        <w:t xml:space="preserve"> з нами </w:t>
      </w:r>
      <w:r>
        <w:rPr>
          <w:shd w:fill="FFFFFF" w:val="clear"/>
          <w:lang w:eastAsia="ru-RU"/>
        </w:rPr>
        <w:t>протягом строку дії його пропозиції, ми зобов’язуємось укласти з Замовником договір  відповідно до вимог    тендерної документації та нашої пропозиці.</w:t>
      </w:r>
    </w:p>
    <w:p>
      <w:pPr>
        <w:pStyle w:val="Normal"/>
        <w:tabs>
          <w:tab w:val="clear" w:pos="709"/>
          <w:tab w:val="left" w:pos="851" w:leader="none"/>
        </w:tabs>
        <w:suppressAutoHyphens w:val="false"/>
        <w:ind w:firstLine="624"/>
        <w:jc w:val="both"/>
        <w:rPr>
          <w:lang w:eastAsia="ru-RU"/>
        </w:rPr>
      </w:pPr>
      <w:r>
        <w:rPr>
          <w:lang w:eastAsia="ru-RU"/>
        </w:rPr>
        <w:t xml:space="preserve">При цьому, ми погоджуємось, що оплата за надані послуги, буде проводитись з       урахуванням реального надходження коштів на зазначені цілі Замовника. </w:t>
      </w:r>
    </w:p>
    <w:p>
      <w:pPr>
        <w:pStyle w:val="Normal"/>
        <w:tabs>
          <w:tab w:val="clear" w:pos="709"/>
          <w:tab w:val="left" w:pos="851" w:leader="none"/>
        </w:tabs>
        <w:suppressAutoHyphens w:val="false"/>
        <w:ind w:firstLine="624"/>
        <w:jc w:val="both"/>
        <w:rPr>
          <w:lang w:eastAsia="ru-RU"/>
        </w:rPr>
      </w:pPr>
      <w:r>
        <w:rPr>
          <w:lang w:eastAsia="ru-RU"/>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jc w:val="left"/>
        <w:tblInd w:w="0" w:type="dxa"/>
        <w:tblCellMar>
          <w:top w:w="0" w:type="dxa"/>
          <w:left w:w="108" w:type="dxa"/>
          <w:bottom w:w="0" w:type="dxa"/>
          <w:right w:w="108" w:type="dxa"/>
        </w:tblCellMar>
        <w:tblLook w:val="01e0"/>
      </w:tblPr>
      <w:tblGrid>
        <w:gridCol w:w="3721"/>
        <w:gridCol w:w="2693"/>
        <w:gridCol w:w="3305"/>
      </w:tblGrid>
      <w:tr>
        <w:trPr>
          <w:trHeight w:val="889" w:hRule="atLeast"/>
        </w:trPr>
        <w:tc>
          <w:tcPr>
            <w:tcW w:w="3721" w:type="dxa"/>
            <w:tcBorders/>
          </w:tcPr>
          <w:p>
            <w:pPr>
              <w:pStyle w:val="Normal"/>
              <w:tabs>
                <w:tab w:val="clear" w:pos="709"/>
                <w:tab w:val="left" w:pos="2160" w:leader="none"/>
                <w:tab w:val="left" w:pos="3600" w:leader="none"/>
              </w:tabs>
              <w:jc w:val="both"/>
              <w:rPr>
                <w:b/>
                <w:b/>
                <w:lang w:eastAsia="ru-RU"/>
              </w:rPr>
            </w:pPr>
            <w:r>
              <w:rPr>
                <w:b/>
                <w:lang w:eastAsia="ru-RU"/>
              </w:rPr>
            </w:r>
          </w:p>
          <w:p>
            <w:pPr>
              <w:pStyle w:val="Normal"/>
              <w:tabs>
                <w:tab w:val="clear" w:pos="709"/>
                <w:tab w:val="left" w:pos="2160" w:leader="none"/>
                <w:tab w:val="left" w:pos="3600" w:leader="none"/>
              </w:tabs>
              <w:jc w:val="both"/>
              <w:rPr>
                <w:b/>
                <w:b/>
                <w:lang w:eastAsia="ru-RU"/>
              </w:rPr>
            </w:pPr>
            <w:r>
              <w:rPr>
                <w:b/>
                <w:lang w:eastAsia="ru-RU"/>
              </w:rPr>
              <w:t>____________________________</w:t>
            </w:r>
          </w:p>
          <w:p>
            <w:pPr>
              <w:pStyle w:val="Normal"/>
              <w:tabs>
                <w:tab w:val="clear" w:pos="709"/>
                <w:tab w:val="left" w:pos="2160" w:leader="none"/>
                <w:tab w:val="left" w:pos="3600" w:leader="none"/>
              </w:tabs>
              <w:jc w:val="center"/>
              <w:rPr>
                <w:i/>
                <w:i/>
                <w:sz w:val="20"/>
                <w:szCs w:val="20"/>
                <w:lang w:eastAsia="ru-RU"/>
              </w:rPr>
            </w:pPr>
            <w:r>
              <w:rPr>
                <w:i/>
                <w:sz w:val="20"/>
                <w:szCs w:val="20"/>
                <w:lang w:eastAsia="ru-RU"/>
              </w:rPr>
              <w:t xml:space="preserve">Посада уповноваженої особи </w:t>
            </w:r>
          </w:p>
          <w:p>
            <w:pPr>
              <w:pStyle w:val="Normal"/>
              <w:tabs>
                <w:tab w:val="clear" w:pos="709"/>
                <w:tab w:val="left" w:pos="2160" w:leader="none"/>
                <w:tab w:val="left" w:pos="3600" w:leader="none"/>
              </w:tabs>
              <w:jc w:val="center"/>
              <w:rPr>
                <w:lang w:eastAsia="ru-RU"/>
              </w:rPr>
            </w:pPr>
            <w:r>
              <w:rPr>
                <w:i/>
                <w:sz w:val="20"/>
                <w:szCs w:val="20"/>
                <w:lang w:eastAsia="ru-RU"/>
              </w:rPr>
              <w:t>Учасника</w:t>
            </w:r>
          </w:p>
        </w:tc>
        <w:tc>
          <w:tcPr>
            <w:tcW w:w="2693" w:type="dxa"/>
            <w:tcBorders/>
          </w:tcPr>
          <w:p>
            <w:pPr>
              <w:pStyle w:val="Normal"/>
              <w:tabs>
                <w:tab w:val="clear" w:pos="709"/>
                <w:tab w:val="left" w:pos="2160" w:leader="none"/>
                <w:tab w:val="left" w:pos="3600" w:leader="none"/>
              </w:tabs>
              <w:jc w:val="both"/>
              <w:rPr>
                <w:b/>
                <w:b/>
                <w:lang w:eastAsia="ru-RU"/>
              </w:rPr>
            </w:pPr>
            <w:r>
              <w:rPr>
                <w:b/>
                <w:lang w:eastAsia="ru-RU"/>
              </w:rPr>
            </w:r>
          </w:p>
          <w:p>
            <w:pPr>
              <w:pStyle w:val="Normal"/>
              <w:tabs>
                <w:tab w:val="clear" w:pos="709"/>
                <w:tab w:val="left" w:pos="2160" w:leader="none"/>
                <w:tab w:val="left" w:pos="3600" w:leader="none"/>
              </w:tabs>
              <w:jc w:val="both"/>
              <w:rPr>
                <w:b/>
                <w:b/>
                <w:lang w:eastAsia="ru-RU"/>
              </w:rPr>
            </w:pPr>
            <w:r>
              <w:rPr>
                <w:b/>
                <w:lang w:eastAsia="ru-RU"/>
              </w:rPr>
              <w:t>_________________</w:t>
            </w:r>
          </w:p>
          <w:p>
            <w:pPr>
              <w:pStyle w:val="Normal"/>
              <w:tabs>
                <w:tab w:val="clear" w:pos="709"/>
                <w:tab w:val="left" w:pos="2160" w:leader="none"/>
                <w:tab w:val="left" w:pos="3600" w:leader="none"/>
              </w:tabs>
              <w:jc w:val="center"/>
              <w:rPr>
                <w:i/>
                <w:i/>
                <w:sz w:val="20"/>
                <w:szCs w:val="20"/>
                <w:lang w:eastAsia="ru-RU"/>
              </w:rPr>
            </w:pPr>
            <w:r>
              <w:rPr>
                <w:i/>
                <w:sz w:val="20"/>
                <w:szCs w:val="20"/>
                <w:lang w:eastAsia="ru-RU"/>
              </w:rPr>
              <w:t>(підпис)</w:t>
            </w:r>
          </w:p>
          <w:p>
            <w:pPr>
              <w:pStyle w:val="Normal"/>
              <w:tabs>
                <w:tab w:val="clear" w:pos="709"/>
                <w:tab w:val="left" w:pos="2160" w:leader="none"/>
                <w:tab w:val="left" w:pos="3600" w:leader="none"/>
              </w:tabs>
              <w:jc w:val="center"/>
              <w:rPr>
                <w:b/>
                <w:b/>
                <w:lang w:eastAsia="ru-RU"/>
              </w:rPr>
            </w:pPr>
            <w:r>
              <w:rPr>
                <w:i/>
                <w:sz w:val="20"/>
                <w:szCs w:val="20"/>
                <w:lang w:eastAsia="ru-RU"/>
              </w:rPr>
              <w:t>МП (у разі використання)</w:t>
            </w:r>
          </w:p>
        </w:tc>
        <w:tc>
          <w:tcPr>
            <w:tcW w:w="3305" w:type="dxa"/>
            <w:tcBorders/>
          </w:tcPr>
          <w:p>
            <w:pPr>
              <w:pStyle w:val="Normal"/>
              <w:tabs>
                <w:tab w:val="clear" w:pos="709"/>
                <w:tab w:val="left" w:pos="2160" w:leader="none"/>
                <w:tab w:val="left" w:pos="3600" w:leader="none"/>
              </w:tabs>
              <w:jc w:val="both"/>
              <w:rPr>
                <w:b/>
                <w:b/>
                <w:lang w:eastAsia="ru-RU"/>
              </w:rPr>
            </w:pPr>
            <w:r>
              <w:rPr>
                <w:b/>
                <w:lang w:eastAsia="ru-RU"/>
              </w:rPr>
            </w:r>
          </w:p>
          <w:p>
            <w:pPr>
              <w:pStyle w:val="Normal"/>
              <w:tabs>
                <w:tab w:val="clear" w:pos="709"/>
                <w:tab w:val="left" w:pos="2160" w:leader="none"/>
                <w:tab w:val="left" w:pos="3600" w:leader="none"/>
              </w:tabs>
              <w:jc w:val="both"/>
              <w:rPr>
                <w:b/>
                <w:b/>
                <w:lang w:eastAsia="ru-RU"/>
              </w:rPr>
            </w:pPr>
            <w:r>
              <w:rPr>
                <w:b/>
                <w:lang w:eastAsia="ru-RU"/>
              </w:rPr>
              <w:t>________________________</w:t>
            </w:r>
          </w:p>
          <w:p>
            <w:pPr>
              <w:pStyle w:val="Normal"/>
              <w:tabs>
                <w:tab w:val="clear" w:pos="709"/>
                <w:tab w:val="left" w:pos="2160" w:leader="none"/>
                <w:tab w:val="left" w:pos="3600" w:leader="none"/>
              </w:tabs>
              <w:jc w:val="center"/>
              <w:rPr>
                <w:b/>
                <w:b/>
                <w:lang w:eastAsia="ru-RU"/>
              </w:rPr>
            </w:pPr>
            <w:r>
              <w:rPr>
                <w:i/>
                <w:sz w:val="20"/>
                <w:szCs w:val="20"/>
                <w:lang w:eastAsia="ru-RU"/>
              </w:rPr>
              <w:t>(ініціали та прізвище)</w:t>
            </w:r>
          </w:p>
        </w:tc>
      </w:tr>
    </w:tbl>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HTMLPreformatted"/>
        <w:shd w:val="clear" w:color="auto" w:fill="FFFFFF"/>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jc w:val="center"/>
        <w:rPr>
          <w:b/>
          <w:b/>
          <w:u w:val="single"/>
          <w:lang w:val="uk-UA"/>
        </w:rPr>
      </w:pPr>
      <w:r>
        <w:rPr>
          <w:b/>
          <w:u w:val="single"/>
          <w:lang w:val="uk-UA"/>
        </w:rPr>
      </w:r>
      <w:r>
        <w:br w:type="page"/>
      </w:r>
    </w:p>
    <w:p>
      <w:pPr>
        <w:pStyle w:val="Normal"/>
        <w:spacing w:before="0" w:after="0"/>
        <w:contextualSpacing/>
        <w:jc w:val="both"/>
        <w:rPr>
          <w:color w:val="000000"/>
          <w:highlight w:val="green"/>
        </w:rPr>
      </w:pPr>
      <w:r>
        <w:rPr>
          <w:color w:val="000000"/>
          <w:highlight w:val="green"/>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color w:val="000000"/>
          <w:sz w:val="25"/>
          <w:szCs w:val="25"/>
        </w:rPr>
      </w:pPr>
      <w:r>
        <w:rPr>
          <w:rFonts w:eastAsia="Times New Roman"/>
          <w:b/>
          <w:bCs/>
          <w:color w:val="000000"/>
          <w:sz w:val="25"/>
          <w:szCs w:val="25"/>
          <w:lang w:val="uk-UA" w:eastAsia="ru-RU"/>
        </w:rPr>
        <w:t>Додаток № 3</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 w:hanging="10"/>
        <w:jc w:val="right"/>
        <w:rPr>
          <w:b/>
          <w:b/>
          <w:highlight w:val="white"/>
        </w:rPr>
      </w:pPr>
      <w:r>
        <w:rPr>
          <w:rFonts w:eastAsia="Times New Roman"/>
          <w:color w:val="000000"/>
          <w:shd w:fill="FFFFFF" w:val="clear"/>
          <w:lang w:val="uk-UA" w:eastAsia="ru-RU"/>
        </w:rPr>
        <w:t>до тендерної документації</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5"/>
          <w:szCs w:val="25"/>
        </w:rPr>
      </w:pPr>
      <w:r>
        <w:rPr>
          <w:color w:val="000000"/>
          <w:sz w:val="25"/>
          <w:szCs w:val="25"/>
        </w:rPr>
        <w:t>ПРОЄКТ</w:t>
      </w:r>
      <w:r>
        <w:rPr>
          <w:b/>
          <w:color w:val="000000"/>
          <w:sz w:val="25"/>
          <w:szCs w:val="25"/>
        </w:rPr>
        <w:t xml:space="preserve"> </w:t>
      </w:r>
    </w:p>
    <w:p>
      <w:pPr>
        <w:pStyle w:val="Normal"/>
        <w:jc w:val="center"/>
        <w:rPr>
          <w:b/>
          <w:b/>
          <w:bCs/>
        </w:rPr>
      </w:pPr>
      <w:r>
        <w:rPr>
          <w:b/>
          <w:bCs/>
        </w:rPr>
        <w:t>ДОГОВІР № _______</w:t>
      </w:r>
    </w:p>
    <w:p>
      <w:pPr>
        <w:pStyle w:val="Normal"/>
        <w:jc w:val="center"/>
        <w:rPr>
          <w:b/>
          <w:b/>
          <w:bCs/>
        </w:rPr>
      </w:pPr>
      <w:r>
        <w:rPr>
          <w:b/>
          <w:bCs/>
        </w:rPr>
        <w:t>про надання послуг</w:t>
      </w:r>
    </w:p>
    <w:p>
      <w:pPr>
        <w:pStyle w:val="Normal"/>
        <w:jc w:val="both"/>
        <w:rPr/>
      </w:pPr>
      <w:r>
        <w:rPr>
          <w:b/>
          <w:bCs/>
        </w:rPr>
        <w:t>м. Тернопіль</w:t>
        <w:tab/>
        <w:tab/>
        <w:t xml:space="preserve">   </w:t>
        <w:tab/>
        <w:tab/>
        <w:tab/>
        <w:tab/>
        <w:tab/>
        <w:tab/>
        <w:tab/>
        <w:t xml:space="preserve"> «__» ______________</w:t>
      </w:r>
    </w:p>
    <w:p>
      <w:pPr>
        <w:pStyle w:val="Normal"/>
        <w:jc w:val="both"/>
        <w:rPr/>
      </w:pPr>
      <w:r>
        <w:rPr/>
      </w:r>
    </w:p>
    <w:p>
      <w:pPr>
        <w:pStyle w:val="Normal"/>
        <w:ind w:firstLine="855"/>
        <w:jc w:val="both"/>
        <w:rPr>
          <w:b/>
          <w:b/>
          <w:color w:val="000000"/>
        </w:rPr>
      </w:pPr>
      <w:r>
        <w:rPr/>
        <w:t xml:space="preserve">Головне управління Пенсійного фонду України в Тернопільській області, в особі начальника Москалика Ігоря Івановича (далі – Замовник),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 28-2 від 22.12.2014 (зі змінами), з однієї сторони, та ________________________ в особі___________________, що діє на підставі__________________ (далі - Виконавець), з іншої сторони, разом - Сторони, уклали цей договір про таке (далі - Договір): </w:t>
      </w:r>
    </w:p>
    <w:p>
      <w:pPr>
        <w:pStyle w:val="Normal"/>
        <w:jc w:val="both"/>
        <w:rPr>
          <w:bCs/>
        </w:rPr>
      </w:pPr>
      <w:r>
        <w:rPr>
          <w:bCs/>
        </w:rPr>
      </w:r>
    </w:p>
    <w:p>
      <w:pPr>
        <w:pStyle w:val="Normal"/>
        <w:jc w:val="center"/>
        <w:rPr>
          <w:b/>
          <w:b/>
        </w:rPr>
      </w:pPr>
      <w:r>
        <w:rPr>
          <w:b/>
        </w:rPr>
        <w:t>1. ПОНЯТТЯ ТА ТЕРМІНИ, ЩО ЗАСТОСОВУЮТЬСЯ В ЦЬОМУ ДОГОВОРІ:</w:t>
      </w:r>
    </w:p>
    <w:p>
      <w:pPr>
        <w:pStyle w:val="Normal"/>
        <w:jc w:val="center"/>
        <w:rPr>
          <w:b/>
          <w:b/>
        </w:rPr>
      </w:pPr>
      <w:r>
        <w:rPr>
          <w:b/>
        </w:rPr>
      </w:r>
    </w:p>
    <w:p>
      <w:pPr>
        <w:pStyle w:val="Normal"/>
        <w:ind w:firstLine="624"/>
        <w:jc w:val="both"/>
        <w:rPr>
          <w:bCs/>
        </w:rPr>
      </w:pPr>
      <w:r>
        <w:rPr>
          <w:bCs/>
        </w:rPr>
        <w:t>ОБ</w:t>
      </w:r>
      <w:r>
        <w:rPr>
          <w:bCs/>
          <w:lang w:val="ru-RU"/>
        </w:rPr>
        <w:t>’</w:t>
      </w:r>
      <w:r>
        <w:rPr>
          <w:bCs/>
        </w:rPr>
        <w:t>ЄКТИ – окремі об</w:t>
      </w:r>
      <w:r>
        <w:rPr>
          <w:bCs/>
          <w:lang w:val="ru-RU"/>
        </w:rPr>
        <w:t>’</w:t>
      </w:r>
      <w:r>
        <w:rPr>
          <w:bCs/>
        </w:rPr>
        <w:t>єкти чи приміщення щодо яких надаються охоронні послуги;</w:t>
      </w:r>
    </w:p>
    <w:p>
      <w:pPr>
        <w:pStyle w:val="Normal"/>
        <w:ind w:firstLine="624"/>
        <w:jc w:val="both"/>
        <w:rPr>
          <w:bCs/>
        </w:rPr>
      </w:pPr>
      <w:r>
        <w:rPr>
          <w:bCs/>
        </w:rPr>
        <w:t>СИГНАЛІЗАЦІЯ – технічні засоби охорони;</w:t>
      </w:r>
    </w:p>
    <w:p>
      <w:pPr>
        <w:pStyle w:val="Normal"/>
        <w:ind w:firstLine="624"/>
        <w:jc w:val="both"/>
        <w:rPr>
          <w:b/>
          <w:b/>
          <w:color w:val="000000"/>
        </w:rPr>
      </w:pPr>
      <w:r>
        <w:rPr>
          <w:bCs/>
        </w:rPr>
        <w:t>СПОСТЕРЕЖЕННЯ – комплекс</w:t>
      </w:r>
      <w:r>
        <w:rPr/>
        <w:t xml:space="preserve"> організаційно-технічних засобів за допомогою апаратури централізованого нагляду з метою отримання сповіщень про зміну технічних параметрів, що контролюються.</w:t>
      </w:r>
    </w:p>
    <w:p>
      <w:pPr>
        <w:pStyle w:val="Normal"/>
        <w:ind w:firstLine="624"/>
        <w:jc w:val="both"/>
        <w:rPr>
          <w:b/>
          <w:b/>
          <w:color w:val="000000"/>
        </w:rPr>
      </w:pPr>
      <w:r>
        <w:rPr>
          <w:b/>
          <w:color w:val="000000"/>
        </w:rPr>
      </w:r>
    </w:p>
    <w:p>
      <w:pPr>
        <w:pStyle w:val="Normal"/>
        <w:jc w:val="center"/>
        <w:rPr>
          <w:b/>
          <w:b/>
          <w:lang w:val="ru-RU"/>
        </w:rPr>
      </w:pPr>
      <w:r>
        <w:rPr>
          <w:b/>
        </w:rPr>
        <w:t>2. ПРЕДМЕТ ДОГОВОРУ</w:t>
      </w:r>
    </w:p>
    <w:p>
      <w:pPr>
        <w:pStyle w:val="Normal"/>
        <w:ind w:firstLine="567"/>
        <w:jc w:val="both"/>
        <w:rPr>
          <w:lang w:eastAsia="ru-RU"/>
        </w:rPr>
      </w:pPr>
      <w:r>
        <w:rPr>
          <w:b/>
        </w:rPr>
        <w:t>2.1.</w:t>
      </w:r>
      <w:r>
        <w:rPr/>
        <w:t xml:space="preserve"> Замовник доручає, а Виконавець зобов’язується надавати послуги з охорони приміщень (пультова охорона),</w:t>
      </w:r>
      <w:r>
        <w:rPr>
          <w:bCs/>
        </w:rPr>
        <w:t xml:space="preserve"> ДК 021:2015 - 79710000-4 «Охоронні послуги» послуги з охорони приміщень </w:t>
      </w:r>
      <w:r>
        <w:rPr>
          <w:bCs/>
          <w:lang w:val="ru-RU"/>
        </w:rPr>
        <w:t>(</w:t>
      </w:r>
      <w:r>
        <w:rPr>
          <w:bCs/>
        </w:rPr>
        <w:t xml:space="preserve">пультова охорона), за адресами вказаними у додатоку 1 </w:t>
      </w:r>
      <w:r>
        <w:rPr>
          <w:bCs/>
          <w:lang w:val="ru-RU"/>
        </w:rPr>
        <w:t>д</w:t>
      </w:r>
      <w:r>
        <w:rPr>
          <w:bCs/>
        </w:rPr>
        <w:t>о Договору.</w:t>
      </w:r>
    </w:p>
    <w:p>
      <w:pPr>
        <w:pStyle w:val="Normal"/>
        <w:ind w:firstLine="567"/>
        <w:jc w:val="both"/>
        <w:rPr>
          <w:b/>
          <w:b/>
          <w:color w:val="000000"/>
        </w:rPr>
      </w:pPr>
      <w:r>
        <w:rPr/>
        <w:t>Замовник зобов’язується в порядку та на умовах визначених цим Договором прийняти та оплатити вартість наданих послуг.</w:t>
      </w:r>
    </w:p>
    <w:p>
      <w:pPr>
        <w:pStyle w:val="Normal"/>
        <w:ind w:firstLine="567"/>
        <w:jc w:val="both"/>
        <w:rPr>
          <w:bCs/>
        </w:rPr>
      </w:pPr>
      <w:r>
        <w:rPr/>
        <w:t xml:space="preserve">Охорона Об’єктів забезпечується з використанням пунктів централізованого спостереження, технічних засобів охорони та забезпеченням негайного реагування на протиправні дії щодо Об’єктів або події та обставини, що завдають (можуть завдати) майнової шкоди або створюють можливу загрозу завдання шкоди, у випадку отримання тривожних сигналів.  </w:t>
      </w:r>
    </w:p>
    <w:p>
      <w:pPr>
        <w:pStyle w:val="Normal"/>
        <w:shd w:val="clear" w:color="auto" w:fill="FFFFFF"/>
        <w:tabs>
          <w:tab w:val="clear" w:pos="709"/>
          <w:tab w:val="left" w:pos="545" w:leader="none"/>
        </w:tabs>
        <w:suppressAutoHyphens w:val="false"/>
        <w:spacing w:lineRule="exact" w:line="274"/>
        <w:ind w:firstLine="567"/>
        <w:jc w:val="both"/>
        <w:rPr>
          <w:color w:val="000000"/>
          <w:spacing w:val="-16"/>
          <w:lang w:eastAsia="ru-RU"/>
        </w:rPr>
      </w:pPr>
      <w:r>
        <w:rPr/>
        <w:t xml:space="preserve">Об’єкти передаються під охорону, приймаються під охорону </w:t>
      </w:r>
      <w:r>
        <w:rPr>
          <w:lang w:eastAsia="ru-RU"/>
        </w:rPr>
        <w:t xml:space="preserve">за Актом </w:t>
      </w:r>
      <w:r>
        <w:rPr/>
        <w:t xml:space="preserve">здачі-прийняття об’єкта під охорону (додаток 2 до Договору). </w:t>
      </w:r>
      <w:r>
        <w:rPr>
          <w:color w:val="000000"/>
          <w:spacing w:val="-3"/>
          <w:lang w:eastAsia="ru-RU"/>
        </w:rPr>
        <w:t xml:space="preserve">Дата складання акту </w:t>
      </w:r>
      <w:r>
        <w:rPr>
          <w:color w:val="000000"/>
          <w:spacing w:val="-5"/>
          <w:lang w:eastAsia="ru-RU"/>
        </w:rPr>
        <w:t xml:space="preserve">відповідальним представником Замовника - </w:t>
      </w:r>
      <w:r>
        <w:rPr>
          <w:color w:val="000000"/>
          <w:spacing w:val="1"/>
          <w:lang w:eastAsia="ru-RU"/>
        </w:rPr>
        <w:t>з однієї Сторони</w:t>
      </w:r>
      <w:r>
        <w:rPr>
          <w:color w:val="000000"/>
          <w:spacing w:val="-5"/>
          <w:lang w:eastAsia="ru-RU"/>
        </w:rPr>
        <w:t>, Виконавцем - з іншої Сторони</w:t>
      </w:r>
      <w:r>
        <w:rPr>
          <w:color w:val="000000"/>
          <w:spacing w:val="-3"/>
          <w:lang w:eastAsia="ru-RU"/>
        </w:rPr>
        <w:t xml:space="preserve"> є датою прийняття Об'єктів під охорону. </w:t>
      </w:r>
    </w:p>
    <w:p>
      <w:pPr>
        <w:pStyle w:val="Normal"/>
        <w:ind w:firstLine="567"/>
        <w:jc w:val="both"/>
        <w:rPr>
          <w:b/>
          <w:b/>
          <w:color w:val="000000"/>
        </w:rPr>
      </w:pPr>
      <w:r>
        <w:rPr>
          <w:b/>
        </w:rPr>
        <w:t>2.2.</w:t>
      </w:r>
      <w:r>
        <w:rPr/>
        <w:t xml:space="preserve"> Централізоване спостереження за системою сигналізації, що знаходиться на об’єктах, здійснюється за графіком (додаток 1 до Договору).</w:t>
      </w:r>
    </w:p>
    <w:p>
      <w:pPr>
        <w:pStyle w:val="Normal"/>
        <w:ind w:firstLine="567"/>
        <w:jc w:val="both"/>
        <w:rPr>
          <w:b/>
          <w:b/>
          <w:color w:val="000000"/>
        </w:rPr>
      </w:pPr>
      <w:r>
        <w:rPr>
          <w:b/>
        </w:rPr>
        <w:t>2.3.</w:t>
      </w:r>
      <w:r>
        <w:rPr/>
        <w:t xml:space="preserve"> Періодом централізованого спостереження вважається час з моменту прийому майна, що знаходиться на об’єктах, під централізоване спостереження Виконавцем до його зняття з-під спостереження Замовником у відповідності з Інструкцією з правил користування сигналізацією (</w:t>
      </w:r>
      <w:r>
        <w:rPr>
          <w:lang w:val="ru-RU"/>
        </w:rPr>
        <w:t>додаток 3 до Договору</w:t>
      </w:r>
      <w:r>
        <w:rPr/>
        <w:t>)</w:t>
      </w:r>
    </w:p>
    <w:p>
      <w:pPr>
        <w:pStyle w:val="Normal"/>
        <w:ind w:firstLine="567"/>
        <w:jc w:val="both"/>
        <w:rPr>
          <w:b/>
          <w:b/>
          <w:color w:val="000000"/>
        </w:rPr>
      </w:pPr>
      <w:r>
        <w:rPr>
          <w:b/>
        </w:rPr>
        <w:t>2.4.</w:t>
      </w:r>
      <w:r>
        <w:rPr/>
        <w:t xml:space="preserve"> Обслуговування сигналізації, встановленої на об’єктах, здійснюється тільки уповноваженими особами Виконавця.</w:t>
      </w:r>
    </w:p>
    <w:p>
      <w:pPr>
        <w:pStyle w:val="Normal"/>
        <w:ind w:firstLine="567"/>
        <w:jc w:val="both"/>
        <w:rPr>
          <w:b/>
          <w:b/>
          <w:color w:val="000000"/>
        </w:rPr>
      </w:pPr>
      <w:r>
        <w:rPr>
          <w:b/>
          <w:spacing w:val="-4"/>
          <w:lang w:eastAsia="ru-RU"/>
        </w:rPr>
        <w:t>2.5.</w:t>
      </w:r>
      <w:r>
        <w:rPr>
          <w:spacing w:val="-4"/>
          <w:lang w:eastAsia="ru-RU"/>
        </w:rPr>
        <w:t xml:space="preserve"> Якість Послуг забезпечується:</w:t>
      </w:r>
    </w:p>
    <w:p>
      <w:pPr>
        <w:pStyle w:val="Normal"/>
        <w:shd w:val="clear" w:color="auto" w:fill="FFFFFF"/>
        <w:tabs>
          <w:tab w:val="clear" w:pos="709"/>
          <w:tab w:val="left" w:pos="504" w:leader="none"/>
        </w:tabs>
        <w:suppressAutoHyphens w:val="false"/>
        <w:spacing w:lineRule="atLeast" w:line="240"/>
        <w:jc w:val="both"/>
        <w:rPr>
          <w:spacing w:val="-4"/>
          <w:lang w:eastAsia="ru-RU"/>
        </w:rPr>
      </w:pPr>
      <w:r>
        <w:rPr>
          <w:spacing w:val="-4"/>
          <w:lang w:eastAsia="ru-RU"/>
        </w:rPr>
        <w:t>- відповідністю персоналу Виконавця вимогам, що визначені ст. 11 Закону України «Про охоронну діяльність»;</w:t>
      </w:r>
    </w:p>
    <w:p>
      <w:pPr>
        <w:pStyle w:val="Normal"/>
        <w:ind w:firstLine="720"/>
        <w:jc w:val="both"/>
        <w:rPr>
          <w:bCs/>
        </w:rPr>
      </w:pPr>
      <w:r>
        <w:rPr>
          <w:bCs/>
        </w:rPr>
        <w:t>- належним здійсненням персоналом Виконавця заходів щодо захисту Об’єкту відповідно до Закону України «Про охоронну діяльність» та умов цього Договору.</w:t>
      </w:r>
    </w:p>
    <w:p>
      <w:pPr>
        <w:pStyle w:val="Normal"/>
        <w:ind w:left="720" w:hanging="0"/>
        <w:jc w:val="both"/>
        <w:rPr>
          <w:bCs/>
        </w:rPr>
      </w:pPr>
      <w:r>
        <w:rPr>
          <w:bCs/>
        </w:rPr>
      </w:r>
    </w:p>
    <w:p>
      <w:pPr>
        <w:pStyle w:val="Normal"/>
        <w:jc w:val="center"/>
        <w:rPr>
          <w:b/>
          <w:b/>
          <w:lang w:val="ru-RU"/>
        </w:rPr>
      </w:pPr>
      <w:r>
        <w:rPr>
          <w:b/>
        </w:rPr>
        <w:t>3. СУМА ДОГОВОРУ ТА ПОРЯДОК РОЗРАХУНКІВ</w:t>
      </w:r>
    </w:p>
    <w:p>
      <w:pPr>
        <w:pStyle w:val="Normal"/>
        <w:ind w:firstLine="567"/>
        <w:jc w:val="both"/>
        <w:rPr>
          <w:lang w:val="ru-RU"/>
        </w:rPr>
      </w:pPr>
      <w:r>
        <w:rPr>
          <w:b/>
        </w:rPr>
        <w:t>3.1.</w:t>
      </w:r>
      <w:r>
        <w:rPr>
          <w:color w:val="000000"/>
          <w:spacing w:val="-4"/>
          <w:lang w:eastAsia="ru-RU"/>
        </w:rPr>
        <w:t xml:space="preserve">Загальна вартість Договору становить </w:t>
      </w:r>
      <w:r>
        <w:rPr>
          <w:spacing w:val="-4"/>
          <w:lang w:eastAsia="ru-RU"/>
        </w:rPr>
        <w:t>________ (сума прописом</w:t>
      </w:r>
      <w:r>
        <w:rPr>
          <w:color w:val="000000"/>
          <w:spacing w:val="-4"/>
          <w:lang w:eastAsia="ru-RU"/>
        </w:rPr>
        <w:t xml:space="preserve">) грн. ___ коп. (зазначити з ПДВ/ без ПДВ) та розрахована відповідно до кількості годин охорони на період дії Договору і тарифів </w:t>
      </w:r>
      <w:r>
        <w:rPr>
          <w:spacing w:val="-4"/>
          <w:lang w:eastAsia="ru-RU"/>
        </w:rPr>
        <w:t xml:space="preserve">на Послуги. </w:t>
      </w:r>
    </w:p>
    <w:p>
      <w:pPr>
        <w:pStyle w:val="Normal"/>
        <w:ind w:firstLine="567"/>
        <w:jc w:val="both"/>
        <w:rPr/>
      </w:pPr>
      <w:r>
        <w:rPr>
          <w:b/>
        </w:rPr>
        <w:t>3.2.</w:t>
      </w:r>
      <w:r>
        <w:rPr/>
        <w:t xml:space="preserve"> Оплата за надані послуги  здійснюється Замовником щомісячно</w:t>
      </w:r>
      <w:r>
        <w:rPr>
          <w:spacing w:val="-6"/>
          <w:lang w:eastAsia="ru-RU"/>
        </w:rPr>
        <w:t xml:space="preserve"> </w:t>
      </w:r>
      <w:r>
        <w:rPr>
          <w:lang w:eastAsia="uk-UA" w:bidi="uk-UA"/>
        </w:rPr>
        <w:t>на підставі</w:t>
      </w:r>
      <w:r>
        <w:rPr>
          <w:sz w:val="27"/>
          <w:szCs w:val="27"/>
          <w:lang w:eastAsia="uk-UA" w:bidi="uk-UA"/>
        </w:rPr>
        <w:t xml:space="preserve"> п</w:t>
      </w:r>
      <w:r>
        <w:rPr>
          <w:spacing w:val="-6"/>
          <w:lang w:eastAsia="ru-RU"/>
        </w:rPr>
        <w:t>ідписан</w:t>
      </w:r>
      <w:r>
        <w:rPr>
          <w:spacing w:val="-6"/>
          <w:lang w:val="ru-RU" w:eastAsia="ru-RU"/>
        </w:rPr>
        <w:t>ого</w:t>
      </w:r>
      <w:r>
        <w:rPr>
          <w:spacing w:val="-6"/>
          <w:lang w:eastAsia="ru-RU"/>
        </w:rPr>
        <w:t xml:space="preserve"> Сторонами Акту наданих Послуг,</w:t>
      </w:r>
      <w:r>
        <w:rPr/>
        <w:t xml:space="preserve"> шляхом зарахування коштів на розрахунковий рахунок Виконавця не пізніше 5 числа місяця наступного за місяцем в якому надавались послуги.</w:t>
      </w:r>
      <w:r>
        <w:rPr>
          <w:sz w:val="27"/>
          <w:szCs w:val="27"/>
          <w:lang w:eastAsia="uk-UA" w:bidi="uk-UA"/>
        </w:rPr>
        <w:t xml:space="preserve"> </w:t>
      </w:r>
      <w:r>
        <w:rPr>
          <w:lang w:eastAsia="uk-UA" w:bidi="uk-UA"/>
        </w:rPr>
        <w:t>в межах затверджених кошторисних призначень на відповідний період. У разі затримки фінансування Замовника, зокрема,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pPr>
        <w:pStyle w:val="Normal"/>
        <w:ind w:firstLine="567"/>
        <w:jc w:val="both"/>
        <w:rPr/>
      </w:pPr>
      <w:r>
        <w:rPr/>
        <w:t>Розрахунки проводяться у безготівковій формі шляхом перерахунку коштів на рахунок Виконавця.</w:t>
      </w:r>
    </w:p>
    <w:p>
      <w:pPr>
        <w:pStyle w:val="Normal"/>
        <w:jc w:val="center"/>
        <w:rPr>
          <w:b/>
          <w:b/>
        </w:rPr>
      </w:pPr>
      <w:r>
        <w:rPr>
          <w:b/>
        </w:rPr>
      </w:r>
    </w:p>
    <w:p>
      <w:pPr>
        <w:pStyle w:val="Normal"/>
        <w:jc w:val="center"/>
        <w:rPr>
          <w:b/>
          <w:b/>
        </w:rPr>
      </w:pPr>
      <w:r>
        <w:rPr>
          <w:b/>
        </w:rPr>
        <w:t>4.ОБОВ</w:t>
      </w:r>
      <w:r>
        <w:rPr>
          <w:b/>
          <w:lang w:val="ru-RU"/>
        </w:rPr>
        <w:t>’</w:t>
      </w:r>
      <w:r>
        <w:rPr>
          <w:b/>
        </w:rPr>
        <w:t>ЯЗКИ ВИКОНАВЦЯ</w:t>
      </w:r>
    </w:p>
    <w:p>
      <w:pPr>
        <w:pStyle w:val="Normal"/>
        <w:ind w:firstLine="567"/>
        <w:jc w:val="both"/>
        <w:rPr>
          <w:b/>
          <w:b/>
          <w:color w:val="000000"/>
        </w:rPr>
      </w:pPr>
      <w:r>
        <w:rPr>
          <w:b/>
        </w:rPr>
        <w:t>4.1.</w:t>
      </w:r>
      <w:r>
        <w:rPr/>
        <w:t xml:space="preserve"> За цим Договором Виконавець зобов’язаний:</w:t>
      </w:r>
    </w:p>
    <w:p>
      <w:pPr>
        <w:pStyle w:val="Normal"/>
        <w:shd w:val="clear" w:color="auto" w:fill="FFFFFF"/>
        <w:tabs>
          <w:tab w:val="clear" w:pos="709"/>
          <w:tab w:val="left" w:pos="545" w:leader="none"/>
        </w:tabs>
        <w:suppressAutoHyphens w:val="false"/>
        <w:spacing w:lineRule="exact" w:line="274"/>
        <w:ind w:firstLine="567"/>
        <w:jc w:val="both"/>
        <w:rPr>
          <w:color w:val="000000"/>
          <w:spacing w:val="-2"/>
          <w:lang w:val="ru-RU" w:eastAsia="ru-RU"/>
        </w:rPr>
      </w:pPr>
      <w:r>
        <w:rPr>
          <w:b/>
        </w:rPr>
        <w:t>4.1.1.</w:t>
      </w:r>
      <w:r>
        <w:rPr/>
        <w:t xml:space="preserve"> Забезпечити охорону шляхом централізованого спостереження за системою          сигналізації згідно </w:t>
      </w:r>
      <w:r>
        <w:rPr>
          <w:bCs/>
          <w:lang w:val="ru-RU"/>
        </w:rPr>
        <w:t>режимів охорони по кожному окремому об’єкту (додаток 1 до Договору).</w:t>
      </w:r>
    </w:p>
    <w:p>
      <w:pPr>
        <w:pStyle w:val="Normal"/>
        <w:ind w:firstLine="567"/>
        <w:jc w:val="both"/>
        <w:rPr>
          <w:b/>
          <w:b/>
          <w:color w:val="000000"/>
        </w:rPr>
      </w:pPr>
      <w:r>
        <w:rPr>
          <w:b/>
        </w:rPr>
        <w:t>4.1.2.</w:t>
      </w:r>
      <w:r>
        <w:rPr/>
        <w:t xml:space="preserve"> У випадку отримання тривожного сигналу (</w:t>
      </w:r>
      <w:r>
        <w:rPr>
          <w:bCs/>
        </w:rPr>
        <w:t xml:space="preserve">сигналу про спрацювання сигналізації на об’єкті охорони) забезпечити негайне повідомлення Замовника та негайний виїзд </w:t>
      </w:r>
      <w:r>
        <w:rPr/>
        <w:t xml:space="preserve">(не більше 5 (п’яти) хвилин) </w:t>
      </w:r>
      <w:r>
        <w:rPr>
          <w:bCs/>
        </w:rPr>
        <w:t>на об’єкт охорони для встановлення причин його надходження, та у разі необхідності забезпечити</w:t>
      </w:r>
      <w:r>
        <w:rPr/>
        <w:t xml:space="preserve"> реагування на протиправні дії щодо Об’єкта (можливу загрозу таких дій), вжити заходів щодо припинення протиправних дій щодо об’єкта.</w:t>
      </w:r>
    </w:p>
    <w:p>
      <w:pPr>
        <w:pStyle w:val="Normal"/>
        <w:ind w:firstLine="567"/>
        <w:jc w:val="both"/>
        <w:rPr>
          <w:bCs/>
        </w:rPr>
      </w:pPr>
      <w:r>
        <w:rPr>
          <w:b/>
          <w:spacing w:val="-4"/>
          <w:lang w:eastAsia="ru-RU"/>
        </w:rPr>
        <w:t>4.1.3.</w:t>
      </w:r>
      <w:r>
        <w:rPr>
          <w:spacing w:val="-4"/>
          <w:lang w:eastAsia="ru-RU"/>
        </w:rPr>
        <w:t xml:space="preserve"> У разі порушення цілісності об’єкта, </w:t>
      </w:r>
      <w:r>
        <w:rPr>
          <w:spacing w:val="-6"/>
          <w:lang w:eastAsia="ru-RU"/>
        </w:rPr>
        <w:t xml:space="preserve">Виконавець негайно повідомляє про це  Замовника, </w:t>
      </w:r>
      <w:r>
        <w:rPr/>
        <w:t>чергову частину територіального відділу Національної поліції</w:t>
      </w:r>
      <w:r>
        <w:rPr>
          <w:spacing w:val="-6"/>
          <w:lang w:eastAsia="ru-RU"/>
        </w:rPr>
        <w:t xml:space="preserve"> та забезпечує недоторканість місця події</w:t>
      </w:r>
      <w:r>
        <w:rPr>
          <w:spacing w:val="-4"/>
          <w:lang w:eastAsia="ru-RU"/>
        </w:rPr>
        <w:t xml:space="preserve"> до прибуття представників Національної поліції.</w:t>
      </w:r>
    </w:p>
    <w:p>
      <w:pPr>
        <w:pStyle w:val="Normal"/>
        <w:ind w:firstLine="567"/>
        <w:jc w:val="both"/>
        <w:rPr>
          <w:b/>
          <w:b/>
          <w:color w:val="000000"/>
        </w:rPr>
      </w:pPr>
      <w:r>
        <w:rPr>
          <w:b/>
        </w:rPr>
        <w:t>4.1.4.</w:t>
      </w:r>
      <w:r>
        <w:rPr/>
        <w:t xml:space="preserve"> Проводити регламентне обслуговування шлейфів сигналізації, оповісників, приймально контролювальних приладів (ПКП), перевіряти робочий стан  системи сигналізації об’єкта в цілому.</w:t>
      </w:r>
    </w:p>
    <w:p>
      <w:pPr>
        <w:pStyle w:val="Normal"/>
        <w:ind w:firstLine="567"/>
        <w:jc w:val="both"/>
        <w:rPr>
          <w:b/>
          <w:b/>
          <w:color w:val="000000"/>
        </w:rPr>
      </w:pPr>
      <w:r>
        <w:rPr>
          <w:b/>
        </w:rPr>
        <w:t>4.1.5.</w:t>
      </w:r>
      <w:r>
        <w:rPr/>
        <w:t xml:space="preserve"> Спільно з Замовником здійснювати заходи по впровадженню технічних засобів охорони і безпеки.</w:t>
      </w:r>
    </w:p>
    <w:p>
      <w:pPr>
        <w:pStyle w:val="Normal"/>
        <w:ind w:firstLine="567"/>
        <w:jc w:val="both"/>
        <w:rPr>
          <w:b/>
          <w:b/>
          <w:color w:val="000000"/>
        </w:rPr>
      </w:pPr>
      <w:r>
        <w:rPr>
          <w:b/>
        </w:rPr>
        <w:t>4.1.6.</w:t>
      </w:r>
      <w:r>
        <w:rPr/>
        <w:t xml:space="preserve"> Здійснювати обслуговування сигналізації та усувати її несправності за письмовою або усною заявою Замовника в технічно можливий строк. </w:t>
      </w:r>
    </w:p>
    <w:p>
      <w:pPr>
        <w:pStyle w:val="Normal"/>
        <w:ind w:firstLine="567"/>
        <w:jc w:val="both"/>
        <w:rPr>
          <w:b/>
          <w:b/>
          <w:color w:val="000000"/>
        </w:rPr>
      </w:pPr>
      <w:r>
        <w:rPr>
          <w:b/>
        </w:rPr>
        <w:t>4.1.7.</w:t>
      </w:r>
      <w:r>
        <w:rPr/>
        <w:t xml:space="preserve"> Здійснювати документування дій службових осіб Замовника, що мають юридичне значення для Виконавця, при прийманні об’єкта під централізоване спостереження Виконавцем та після його зняття Замовником.</w:t>
      </w:r>
      <w:bookmarkStart w:id="11" w:name="_Hlk514911311"/>
      <w:bookmarkEnd w:id="11"/>
    </w:p>
    <w:p>
      <w:pPr>
        <w:pStyle w:val="Normal"/>
        <w:jc w:val="both"/>
        <w:rPr>
          <w:b/>
          <w:b/>
          <w:color w:val="000000"/>
        </w:rPr>
      </w:pPr>
      <w:r>
        <w:rPr>
          <w:b/>
          <w:color w:val="000000"/>
        </w:rPr>
      </w:r>
    </w:p>
    <w:p>
      <w:pPr>
        <w:pStyle w:val="Normal"/>
        <w:jc w:val="center"/>
        <w:rPr>
          <w:b/>
          <w:b/>
        </w:rPr>
      </w:pPr>
      <w:r>
        <w:rPr>
          <w:b/>
        </w:rPr>
        <w:t>5. ОБОВ</w:t>
      </w:r>
      <w:r>
        <w:rPr>
          <w:b/>
          <w:lang w:val="ru-RU"/>
        </w:rPr>
        <w:t>’</w:t>
      </w:r>
      <w:r>
        <w:rPr>
          <w:b/>
        </w:rPr>
        <w:t>ЯЗКИ ЗАМОВНИКА</w:t>
      </w:r>
    </w:p>
    <w:p>
      <w:pPr>
        <w:pStyle w:val="Normal"/>
        <w:ind w:firstLine="567"/>
        <w:jc w:val="both"/>
        <w:rPr>
          <w:b/>
          <w:b/>
          <w:color w:val="000000"/>
        </w:rPr>
      </w:pPr>
      <w:r>
        <w:rPr>
          <w:b/>
        </w:rPr>
        <w:t>5.1.</w:t>
      </w:r>
      <w:r>
        <w:rPr/>
        <w:t xml:space="preserve"> За цим Договором Замовник зобов’язаний:</w:t>
      </w:r>
    </w:p>
    <w:p>
      <w:pPr>
        <w:pStyle w:val="Normal"/>
        <w:ind w:firstLine="567"/>
        <w:jc w:val="both"/>
        <w:rPr>
          <w:b/>
          <w:b/>
          <w:color w:val="000000"/>
        </w:rPr>
      </w:pPr>
      <w:r>
        <w:rPr>
          <w:b/>
        </w:rPr>
        <w:t>5.1.1.</w:t>
      </w:r>
      <w:r>
        <w:rPr/>
        <w:t xml:space="preserve"> Створювати належні умови для забезпечення зберігання майна та сприяти Виконавцю при виконанні ним своїх функцій.</w:t>
      </w:r>
    </w:p>
    <w:p>
      <w:pPr>
        <w:pStyle w:val="Normal"/>
        <w:ind w:firstLine="567"/>
        <w:jc w:val="both"/>
        <w:rPr>
          <w:b/>
          <w:b/>
          <w:color w:val="000000"/>
        </w:rPr>
      </w:pPr>
      <w:r>
        <w:rPr>
          <w:b/>
        </w:rPr>
        <w:t>5.1.2.</w:t>
      </w:r>
      <w:r>
        <w:rPr/>
        <w:t xml:space="preserve"> Забезпечувати справний стан стін, стелі, підлоги, вікон, люків та дверей об’єктів, де знаходиться майно, з метою унеможливлення несанкціонованого проникнення на об’єкт без їх пошкодження.</w:t>
      </w:r>
    </w:p>
    <w:p>
      <w:pPr>
        <w:pStyle w:val="Normal"/>
        <w:ind w:firstLine="567"/>
        <w:jc w:val="both"/>
        <w:rPr>
          <w:b/>
          <w:b/>
          <w:color w:val="000000"/>
        </w:rPr>
      </w:pPr>
      <w:r>
        <w:rPr>
          <w:b/>
        </w:rPr>
        <w:t>5.1.3.</w:t>
      </w:r>
      <w:r>
        <w:rPr/>
        <w:t xml:space="preserve"> За свій рахунок придбавати, встановлювати та проводити ремонт сигналізації, встановленої на об’єкті, в разі виходу її з ладу не з вини Виконавця.</w:t>
      </w:r>
    </w:p>
    <w:p>
      <w:pPr>
        <w:pStyle w:val="Normal"/>
        <w:ind w:firstLine="567"/>
        <w:jc w:val="both"/>
        <w:rPr>
          <w:b/>
          <w:b/>
          <w:color w:val="000000"/>
        </w:rPr>
      </w:pPr>
      <w:r>
        <w:rPr>
          <w:b/>
        </w:rPr>
        <w:t>5.1.4.</w:t>
      </w:r>
      <w:r>
        <w:rPr/>
        <w:t xml:space="preserve"> Перед здаванням майна, що знаходиться на об’єкті, під спостереження перевіряти щоб на цьому об’єкті не залишились сторонні особи, вимкнути електричні та газоприлади, інші джерела вогню та системи водопостачання.</w:t>
      </w:r>
    </w:p>
    <w:p>
      <w:pPr>
        <w:pStyle w:val="Normal"/>
        <w:ind w:firstLine="567"/>
        <w:jc w:val="both"/>
        <w:rPr>
          <w:b/>
          <w:b/>
          <w:color w:val="000000"/>
        </w:rPr>
      </w:pPr>
      <w:r>
        <w:rPr>
          <w:b/>
        </w:rPr>
        <w:t>5.1.5.</w:t>
      </w:r>
      <w:r>
        <w:rPr/>
        <w:t xml:space="preserve"> Визначити діючі лінії електроживлення для підключення сигналізації та вживати заходів до своєчасного ремонту мереж електроживлення, до яких підключена сигналізація.</w:t>
      </w:r>
    </w:p>
    <w:p>
      <w:pPr>
        <w:pStyle w:val="Normal"/>
        <w:ind w:firstLine="567"/>
        <w:jc w:val="both"/>
        <w:rPr>
          <w:b/>
          <w:b/>
          <w:color w:val="000000"/>
        </w:rPr>
      </w:pPr>
      <w:r>
        <w:rPr>
          <w:b/>
        </w:rPr>
        <w:t>5.1.6.</w:t>
      </w:r>
      <w:r>
        <w:rPr/>
        <w:t xml:space="preserve"> Забезпечити вільний доступ уповноважених осіб Виконавця до встановленої на об’єктах сигналізації.</w:t>
      </w:r>
    </w:p>
    <w:p>
      <w:pPr>
        <w:pStyle w:val="Normal"/>
        <w:ind w:firstLine="567"/>
        <w:jc w:val="both"/>
        <w:rPr>
          <w:b/>
          <w:b/>
          <w:color w:val="000000"/>
        </w:rPr>
      </w:pPr>
      <w:r>
        <w:rPr>
          <w:b/>
        </w:rPr>
        <w:t>5.1.7.</w:t>
      </w:r>
      <w:r>
        <w:rPr/>
        <w:t xml:space="preserve"> Допускати до обслуговування та ремонту сигналізації, встановленої на об’єкті, тільки уповноважених представників Виконавця.</w:t>
      </w:r>
    </w:p>
    <w:p>
      <w:pPr>
        <w:pStyle w:val="Normal"/>
        <w:ind w:firstLine="567"/>
        <w:jc w:val="both"/>
        <w:rPr/>
      </w:pPr>
      <w:r>
        <w:rPr>
          <w:b/>
        </w:rPr>
        <w:t>5.1.8.</w:t>
      </w:r>
      <w:r>
        <w:rPr/>
        <w:t xml:space="preserve"> Своєчасно здійснювати оплату по цьому Договору.</w:t>
      </w:r>
    </w:p>
    <w:p>
      <w:pPr>
        <w:pStyle w:val="Normal"/>
        <w:ind w:firstLine="567"/>
        <w:jc w:val="both"/>
        <w:rPr>
          <w:b/>
          <w:b/>
          <w:color w:val="000000"/>
        </w:rPr>
      </w:pPr>
      <w:r>
        <w:rPr>
          <w:b/>
        </w:rPr>
        <w:t>5.1.9.</w:t>
      </w:r>
      <w:r>
        <w:rPr/>
        <w:t xml:space="preserve"> При виявленні порушень цілісності об’єкту (пошкодження дверей, вікон, замків, стін, підлоги, стелі тощо), де знаходиться майно, що знаходилось під централізованим спостереженням, негайно повідомити Виконавця і чергову частину територіального відділу Національної поліції.</w:t>
      </w:r>
    </w:p>
    <w:p>
      <w:pPr>
        <w:pStyle w:val="Normal"/>
        <w:ind w:firstLine="567"/>
        <w:jc w:val="both"/>
        <w:rPr>
          <w:b/>
          <w:b/>
          <w:color w:val="000000"/>
        </w:rPr>
      </w:pPr>
      <w:r>
        <w:rPr>
          <w:b/>
        </w:rPr>
        <w:t>5.1.10.</w:t>
      </w:r>
      <w:r>
        <w:rPr/>
        <w:t xml:space="preserve"> Письмово повідомляти Виконавця в строк не менше ніж за 7 діб до початку робіт по проведенню капітального ремонту або переобладнанню об’єкта.</w:t>
      </w:r>
    </w:p>
    <w:p>
      <w:pPr>
        <w:pStyle w:val="Normal"/>
        <w:ind w:firstLine="567"/>
        <w:jc w:val="both"/>
        <w:rPr>
          <w:b/>
          <w:b/>
          <w:color w:val="000000"/>
        </w:rPr>
      </w:pPr>
      <w:r>
        <w:rPr>
          <w:b/>
        </w:rPr>
        <w:t>5.1.11.</w:t>
      </w:r>
      <w:r>
        <w:rPr/>
        <w:t xml:space="preserve"> Здавання об’єктів під централізоване спостереження і прийняття з-під централізованого спостереження здійснюється особами, що уповноважені Замовником, згідно з листом. </w:t>
      </w:r>
    </w:p>
    <w:p>
      <w:pPr>
        <w:pStyle w:val="Normal"/>
        <w:ind w:firstLine="567"/>
        <w:jc w:val="center"/>
        <w:rPr>
          <w:b/>
          <w:b/>
        </w:rPr>
      </w:pPr>
      <w:r>
        <w:rPr>
          <w:b/>
        </w:rPr>
      </w:r>
    </w:p>
    <w:p>
      <w:pPr>
        <w:pStyle w:val="Normal"/>
        <w:jc w:val="center"/>
        <w:rPr>
          <w:b/>
          <w:b/>
        </w:rPr>
      </w:pPr>
      <w:r>
        <w:rPr>
          <w:b/>
        </w:rPr>
        <w:t>6. ВІДПОВІДАЛЬНІСТЬ ВИКОНАВЦЯ</w:t>
      </w:r>
    </w:p>
    <w:p>
      <w:pPr>
        <w:pStyle w:val="Normal"/>
        <w:shd w:val="clear" w:color="auto" w:fill="FFFFFF"/>
        <w:spacing w:lineRule="exact" w:line="263"/>
        <w:ind w:firstLine="567"/>
        <w:jc w:val="both"/>
        <w:rPr>
          <w:b/>
          <w:b/>
          <w:color w:val="000000"/>
        </w:rPr>
      </w:pPr>
      <w:r>
        <w:rPr>
          <w:b/>
          <w:spacing w:val="-4"/>
        </w:rPr>
        <w:t xml:space="preserve">6.1. </w:t>
      </w:r>
      <w:r>
        <w:rPr>
          <w:spacing w:val="-4"/>
        </w:rPr>
        <w:t xml:space="preserve">Виконавець несе відповідальність за шкоду, заподіяну Замовнику </w:t>
      </w:r>
      <w:r>
        <w:rPr>
          <w:spacing w:val="-5"/>
        </w:rPr>
        <w:t xml:space="preserve">внаслідок неналежного виконання Виконавцем договірних зобов'язань, якщо таке неналежне виконання призвело до крадіжки, знищення, пошкодження, псування  майна Замовника на </w:t>
      </w:r>
      <w:r>
        <w:rPr>
          <w:spacing w:val="-4"/>
        </w:rPr>
        <w:t xml:space="preserve">Об'єкті у період його охорони сторонніми особами, які проникли на Об'єкт після його </w:t>
      </w:r>
      <w:r>
        <w:rPr/>
        <w:t>здавання під охорону.</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5"/>
        </w:rPr>
        <w:t xml:space="preserve">6.2. </w:t>
      </w:r>
      <w:r>
        <w:rPr>
          <w:spacing w:val="-5"/>
        </w:rPr>
        <w:t xml:space="preserve">При наявності письмової заяви Замовника про заподіяну шкоду внаслідок </w:t>
      </w:r>
      <w:r>
        <w:rPr/>
        <w:t xml:space="preserve">невиконання або неналежного виконання Виконавцем своїх зобов'язань, уповноважені представники Виконавця </w:t>
      </w:r>
      <w:r>
        <w:rPr>
          <w:spacing w:val="-5"/>
        </w:rPr>
        <w:t xml:space="preserve">зобов'язані брати участь у визначенні розміру шкоди  та в знятті залишків товарно-матеріальних цінностей, які порівнюються з даними бухгалтерського обліку Замовника на </w:t>
      </w:r>
      <w:r>
        <w:rPr>
          <w:spacing w:val="-1"/>
        </w:rPr>
        <w:t xml:space="preserve">день події. Зняття залишків товарно-матеріальних цінностей повинно бути проведене </w:t>
      </w:r>
      <w:r>
        <w:rPr/>
        <w:t>терміново під час прибуття представників Сторін на місце події.</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bCs/>
          <w:spacing w:val="-5"/>
        </w:rPr>
        <w:t>6.3.</w:t>
      </w:r>
      <w:r>
        <w:rPr>
          <w:spacing w:val="-5"/>
        </w:rPr>
        <w:t xml:space="preserve"> Відшкодування Замовнику заподіяної з вини Виконавця шкоди (невиконання чи неналежного виконання зобов’язань по договору) здійснюється </w:t>
      </w:r>
      <w:r>
        <w:rPr>
          <w:spacing w:val="-6"/>
        </w:rPr>
        <w:t xml:space="preserve">Виконавцем за власною ініціативою або за рішенням суду, що набрало законної сили. Розмір </w:t>
      </w:r>
      <w:r>
        <w:rPr>
          <w:spacing w:val="-1"/>
        </w:rPr>
        <w:t xml:space="preserve">шкоди має бути підтверджений відповідними документами і розрахунками вартості </w:t>
      </w:r>
      <w:r>
        <w:rPr>
          <w:spacing w:val="-5"/>
        </w:rPr>
        <w:t xml:space="preserve">товарно-матеріальних цінностей, грошових коштів, складеними за участю Виконавця та звіреними з бухгалтерськими даними Замовника.  До розміру завданої шкоди, що підлягає відшкодуванню, включається вартість втраченого майна, розмір зниження в ціні пошкоджених товарно-матеріальних цінностей або витрати, </w:t>
      </w:r>
      <w:r>
        <w:rPr/>
        <w:t>проведені на відновлення пошкодженого майна.</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 xml:space="preserve">6.4. </w:t>
      </w:r>
      <w:r>
        <w:rPr>
          <w:spacing w:val="-2"/>
        </w:rPr>
        <w:t xml:space="preserve">При поверненні Замовнику викраденого майна присутність працівників </w:t>
      </w:r>
      <w:r>
        <w:rPr>
          <w:spacing w:val="-6"/>
        </w:rPr>
        <w:t xml:space="preserve">Виконавця є обов'язковою. Замовник зобов'язаний повідомити Виконавця про час, дату та </w:t>
      </w:r>
      <w:r>
        <w:rPr>
          <w:spacing w:val="-5"/>
        </w:rPr>
        <w:t xml:space="preserve">місце такого повернення, а Виконавець зобов'язаний забезпечити у визначений у повідомленні </w:t>
      </w:r>
      <w:r>
        <w:rPr/>
        <w:t>час присутність представника.</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4"/>
        </w:rPr>
        <w:t xml:space="preserve">6.5. </w:t>
      </w:r>
      <w:r>
        <w:rPr>
          <w:spacing w:val="-4"/>
        </w:rPr>
        <w:t xml:space="preserve">Вартість поверненого майна вилучається із загальної суми шкоди, що належать </w:t>
      </w:r>
      <w:r>
        <w:rPr/>
        <w:t xml:space="preserve">до відшкодування Виконавцем Замовнику, а раніш сплачена сума за це майно </w:t>
      </w:r>
      <w:r>
        <w:rPr>
          <w:spacing w:val="-3"/>
        </w:rPr>
        <w:t xml:space="preserve">повертається Замовником Виконавцю. Якщо частина поверненого майна виявиться неповноцінною, про це складається акт за участю обох сторін і компетентних осіб для </w:t>
      </w:r>
      <w:r>
        <w:rPr>
          <w:spacing w:val="-5"/>
        </w:rPr>
        <w:t xml:space="preserve">визначення відсотка придатності вказаного майна. У цьому випадку Виконавець відшкодовує </w:t>
      </w:r>
      <w:r>
        <w:rPr/>
        <w:t>Замовнику розмір уцінки майна.</w:t>
      </w:r>
    </w:p>
    <w:p>
      <w:pPr>
        <w:pStyle w:val="Normal"/>
        <w:shd w:val="clear" w:color="auto" w:fill="FFFFFF"/>
        <w:tabs>
          <w:tab w:val="clear" w:pos="709"/>
          <w:tab w:val="left" w:pos="1134" w:leader="none"/>
        </w:tabs>
        <w:spacing w:lineRule="exact" w:line="263"/>
        <w:ind w:left="14" w:right="14" w:firstLine="691"/>
        <w:jc w:val="both"/>
        <w:rPr>
          <w:b/>
          <w:b/>
          <w:color w:val="000000"/>
        </w:rPr>
      </w:pPr>
      <w:r>
        <w:rPr>
          <w:b/>
          <w:color w:val="000000"/>
        </w:rPr>
      </w:r>
    </w:p>
    <w:p>
      <w:pPr>
        <w:pStyle w:val="Normal"/>
        <w:shd w:val="clear" w:color="auto" w:fill="FFFFFF"/>
        <w:tabs>
          <w:tab w:val="clear" w:pos="709"/>
          <w:tab w:val="left" w:pos="918" w:leader="none"/>
        </w:tabs>
        <w:spacing w:lineRule="exact" w:line="263" w:before="4" w:after="0"/>
        <w:ind w:left="688" w:hanging="0"/>
        <w:rPr>
          <w:spacing w:val="-7"/>
        </w:rPr>
      </w:pPr>
      <w:r>
        <w:rPr>
          <w:b/>
          <w:spacing w:val="-13"/>
        </w:rPr>
        <w:t>7</w:t>
      </w:r>
      <w:r>
        <w:rPr>
          <w:spacing w:val="-13"/>
        </w:rPr>
        <w:t>.</w:t>
      </w:r>
      <w:r>
        <w:rPr/>
        <w:tab/>
      </w:r>
      <w:r>
        <w:rPr>
          <w:b/>
          <w:spacing w:val="-7"/>
        </w:rPr>
        <w:t>УМОВИ ЗВІЛЬНЕННЯ ВИКОНАВЦЯ ВІД ВІДПОВІДАЛЬНОСТІ</w:t>
      </w:r>
    </w:p>
    <w:p>
      <w:pPr>
        <w:pStyle w:val="Normal"/>
        <w:shd w:val="clear" w:color="auto" w:fill="FFFFFF"/>
        <w:spacing w:lineRule="exact" w:line="263"/>
        <w:ind w:left="25" w:right="32" w:firstLine="680"/>
        <w:jc w:val="both"/>
        <w:rPr>
          <w:b/>
          <w:b/>
          <w:color w:val="000000"/>
        </w:rPr>
      </w:pPr>
      <w:r>
        <w:rPr>
          <w:b/>
          <w:spacing w:val="-5"/>
        </w:rPr>
        <w:t>7.1.</w:t>
      </w:r>
      <w:r>
        <w:rPr>
          <w:spacing w:val="-5"/>
        </w:rPr>
        <w:t xml:space="preserve"> Виконавець звільняється від відповідальності за шкоду, допущену при відсутності </w:t>
      </w:r>
      <w:r>
        <w:rPr/>
        <w:t xml:space="preserve">вини </w:t>
      </w:r>
      <w:r>
        <w:rPr>
          <w:spacing w:val="-5"/>
        </w:rPr>
        <w:t>Виконавця у їх спричиненні, у тому числі за:</w:t>
      </w:r>
    </w:p>
    <w:p>
      <w:pPr>
        <w:pStyle w:val="Normal"/>
        <w:shd w:val="clear" w:color="auto" w:fill="FFFFFF"/>
        <w:spacing w:lineRule="exact" w:line="263"/>
        <w:ind w:left="25" w:right="32" w:firstLine="680"/>
        <w:jc w:val="both"/>
        <w:rPr>
          <w:b/>
          <w:b/>
          <w:color w:val="000000"/>
        </w:rPr>
      </w:pPr>
      <w:r>
        <w:rPr/>
        <w:t>7.1.1.</w:t>
        <w:tab/>
        <w:t>Майнову шкоду, що завдана:</w:t>
      </w:r>
    </w:p>
    <w:p>
      <w:pPr>
        <w:pStyle w:val="Normal"/>
        <w:shd w:val="clear" w:color="auto" w:fill="FFFFFF"/>
        <w:spacing w:lineRule="exact" w:line="263"/>
        <w:ind w:left="25" w:right="32" w:firstLine="680"/>
        <w:jc w:val="both"/>
        <w:rPr>
          <w:b/>
          <w:b/>
          <w:color w:val="000000"/>
        </w:rPr>
      </w:pPr>
      <w:r>
        <w:rPr/>
        <w:t>а)</w:t>
        <w:tab/>
        <w:t>стихійним лихом;</w:t>
      </w:r>
    </w:p>
    <w:p>
      <w:pPr>
        <w:pStyle w:val="Normal"/>
        <w:shd w:val="clear" w:color="auto" w:fill="FFFFFF"/>
        <w:spacing w:lineRule="exact" w:line="263"/>
        <w:ind w:left="25" w:right="32" w:firstLine="680"/>
        <w:jc w:val="both"/>
        <w:rPr>
          <w:b/>
          <w:b/>
          <w:color w:val="000000"/>
        </w:rPr>
      </w:pPr>
      <w:r>
        <w:rPr/>
        <w:t>б)</w:t>
        <w:tab/>
        <w:t>при масових порушеннях громадського порядку;</w:t>
      </w:r>
    </w:p>
    <w:p>
      <w:pPr>
        <w:pStyle w:val="Normal"/>
        <w:shd w:val="clear" w:color="auto" w:fill="FFFFFF"/>
        <w:spacing w:lineRule="exact" w:line="263"/>
        <w:ind w:left="25" w:right="32" w:firstLine="680"/>
        <w:jc w:val="both"/>
        <w:rPr>
          <w:b/>
          <w:b/>
          <w:color w:val="000000"/>
        </w:rPr>
      </w:pPr>
      <w:r>
        <w:rPr/>
        <w:t>в)</w:t>
        <w:tab/>
        <w:t>злочинцем всередині Об'єкта, якщо він проник на цей Об'єкт до моменту</w:t>
        <w:br/>
        <w:t>прийому майна під охорону;</w:t>
      </w:r>
    </w:p>
    <w:p>
      <w:pPr>
        <w:pStyle w:val="Normal"/>
        <w:shd w:val="clear" w:color="auto" w:fill="FFFFFF"/>
        <w:spacing w:lineRule="exact" w:line="263"/>
        <w:ind w:left="25" w:right="32" w:firstLine="684"/>
        <w:jc w:val="both"/>
        <w:rPr>
          <w:b/>
          <w:b/>
          <w:color w:val="000000"/>
        </w:rPr>
      </w:pPr>
      <w:r>
        <w:rPr/>
        <w:t>г)</w:t>
        <w:tab/>
        <w:t>крадіжку, знищення, пошкодження, псування  майна що охороняється (у т.ч. грошових коштів),сторонніми особами, які проникли на Об'єкт у випадках, вказаних у п.п. "а","б" цього пункту</w:t>
      </w:r>
    </w:p>
    <w:p>
      <w:pPr>
        <w:pStyle w:val="Normal"/>
        <w:shd w:val="clear" w:color="auto" w:fill="FFFFFF"/>
        <w:tabs>
          <w:tab w:val="clear" w:pos="709"/>
          <w:tab w:val="left" w:pos="1292" w:leader="none"/>
        </w:tabs>
        <w:spacing w:lineRule="exact" w:line="263"/>
        <w:ind w:left="29" w:right="14" w:firstLine="677"/>
        <w:rPr>
          <w:b/>
          <w:b/>
          <w:color w:val="000000"/>
        </w:rPr>
      </w:pPr>
      <w:r>
        <w:rPr>
          <w:b/>
          <w:spacing w:val="-7"/>
        </w:rPr>
        <w:t>7.1.2</w:t>
      </w:r>
      <w:r>
        <w:rPr>
          <w:spacing w:val="-7"/>
        </w:rPr>
        <w:t>. К</w:t>
      </w:r>
      <w:r>
        <w:rPr>
          <w:spacing w:val="-5"/>
        </w:rPr>
        <w:t>радіжку, знищення, пошкодження, псування  майна</w:t>
      </w:r>
      <w:r>
        <w:rPr>
          <w:spacing w:val="-6"/>
        </w:rPr>
        <w:t xml:space="preserve"> що охороняється, якщо органами дізнання, слідства або судом </w:t>
      </w:r>
      <w:r>
        <w:rPr/>
        <w:t xml:space="preserve">буде встановлено, що </w:t>
      </w:r>
      <w:r>
        <w:rPr>
          <w:spacing w:val="-5"/>
        </w:rPr>
        <w:t>крадіжку, знищення, пошкодження, псування  майна</w:t>
      </w:r>
      <w:r>
        <w:rPr/>
        <w:t xml:space="preserve"> допущено у зв'язку з:</w:t>
      </w:r>
    </w:p>
    <w:p>
      <w:pPr>
        <w:pStyle w:val="Normal"/>
        <w:shd w:val="clear" w:color="auto" w:fill="FFFFFF"/>
        <w:spacing w:lineRule="exact" w:line="263"/>
        <w:ind w:left="25" w:right="32" w:firstLine="680"/>
        <w:jc w:val="both"/>
        <w:rPr>
          <w:b/>
          <w:b/>
          <w:color w:val="000000"/>
        </w:rPr>
      </w:pPr>
      <w:r>
        <w:rPr/>
        <w:t>а)</w:t>
        <w:tab/>
        <w:t>не включенням Замовником сигналізації на Об'єкті;</w:t>
      </w:r>
    </w:p>
    <w:p>
      <w:pPr>
        <w:pStyle w:val="Normal"/>
        <w:shd w:val="clear" w:color="auto" w:fill="FFFFFF"/>
        <w:spacing w:lineRule="exact" w:line="263"/>
        <w:ind w:left="25" w:right="32" w:firstLine="680"/>
        <w:jc w:val="both"/>
        <w:rPr>
          <w:b/>
          <w:b/>
          <w:color w:val="000000"/>
        </w:rPr>
      </w:pPr>
      <w:r>
        <w:rPr/>
        <w:t>б)</w:t>
        <w:tab/>
        <w:t>не здаванням сигналізації на Об'єкті під спостереження;</w:t>
      </w:r>
    </w:p>
    <w:p>
      <w:pPr>
        <w:pStyle w:val="Normal"/>
        <w:shd w:val="clear" w:color="auto" w:fill="FFFFFF"/>
        <w:spacing w:lineRule="exact" w:line="263"/>
        <w:ind w:left="25" w:right="32" w:firstLine="680"/>
        <w:jc w:val="both"/>
        <w:rPr>
          <w:b/>
          <w:b/>
          <w:color w:val="000000"/>
        </w:rPr>
      </w:pPr>
      <w:r>
        <w:rPr/>
        <w:t>в)</w:t>
        <w:tab/>
        <w:t>неповідомленням Замовником Виконавця про несправність сигналізації на</w:t>
        <w:br/>
        <w:t>Об'єкті;</w:t>
      </w:r>
    </w:p>
    <w:p>
      <w:pPr>
        <w:pStyle w:val="Normal"/>
        <w:shd w:val="clear" w:color="auto" w:fill="FFFFFF"/>
        <w:spacing w:lineRule="exact" w:line="263"/>
        <w:ind w:left="25" w:right="32" w:firstLine="680"/>
        <w:jc w:val="both"/>
        <w:rPr>
          <w:b/>
          <w:b/>
          <w:color w:val="000000"/>
        </w:rPr>
      </w:pPr>
      <w:r>
        <w:rPr/>
        <w:t>г)</w:t>
        <w:tab/>
        <w:t>діями Замовника, що спричинили обмеження зони дії сигналізації;</w:t>
      </w:r>
    </w:p>
    <w:p>
      <w:pPr>
        <w:pStyle w:val="Normal"/>
        <w:shd w:val="clear" w:color="auto" w:fill="FFFFFF"/>
        <w:spacing w:lineRule="exact" w:line="263"/>
        <w:ind w:left="25" w:right="32" w:firstLine="680"/>
        <w:jc w:val="both"/>
        <w:rPr>
          <w:b/>
          <w:b/>
          <w:color w:val="000000"/>
        </w:rPr>
      </w:pPr>
      <w:r>
        <w:rPr/>
        <w:t>д)</w:t>
        <w:tab/>
        <w:t>розголошенням Замовником стороннім особам пультових кодів чи системи охорони Об'єкта, що стало умовою здійснення крадіжки;</w:t>
      </w:r>
    </w:p>
    <w:p>
      <w:pPr>
        <w:pStyle w:val="Normal"/>
        <w:shd w:val="clear" w:color="auto" w:fill="FFFFFF"/>
        <w:spacing w:lineRule="exact" w:line="263"/>
        <w:ind w:left="25" w:right="32" w:firstLine="680"/>
        <w:jc w:val="both"/>
        <w:rPr>
          <w:b/>
          <w:b/>
          <w:color w:val="000000"/>
        </w:rPr>
      </w:pPr>
      <w:r>
        <w:rPr/>
        <w:t>є)</w:t>
        <w:tab/>
        <w:t>залученням Замовником до обслуговування сигналізації, встановленої на Об'єкті, сторонніх осіб;</w:t>
      </w:r>
    </w:p>
    <w:p>
      <w:pPr>
        <w:pStyle w:val="Normal"/>
        <w:shd w:val="clear" w:color="auto" w:fill="FFFFFF"/>
        <w:spacing w:lineRule="exact" w:line="263"/>
        <w:ind w:left="25" w:right="32" w:firstLine="680"/>
        <w:jc w:val="both"/>
        <w:rPr>
          <w:b/>
          <w:b/>
          <w:color w:val="000000"/>
        </w:rPr>
      </w:pPr>
      <w:r>
        <w:rPr/>
        <w:t>ж)</w:t>
        <w:tab/>
        <w:t>невиконанням Замовником вимог по технічному зміцненню Об'єкта чи додатковому встановленню сигналізації, якщо це стало умовою здійснення крадіжки;</w:t>
      </w:r>
    </w:p>
    <w:p>
      <w:pPr>
        <w:pStyle w:val="Normal"/>
        <w:shd w:val="clear" w:color="auto" w:fill="FFFFFF"/>
        <w:spacing w:lineRule="exact" w:line="263"/>
        <w:ind w:left="25" w:right="32" w:firstLine="680"/>
        <w:jc w:val="both"/>
        <w:rPr>
          <w:b/>
          <w:b/>
          <w:color w:val="000000"/>
        </w:rPr>
      </w:pPr>
      <w:r>
        <w:rPr/>
        <w:t>і)</w:t>
        <w:tab/>
        <w:t>порушенням співробітниками Замовника визначеного Інструкцією з правил користування сигналізацією (додаток №3 до Договору) порядку приймання (здавання) Об'єкта під охорону.</w:t>
      </w:r>
    </w:p>
    <w:p>
      <w:pPr>
        <w:pStyle w:val="Normal"/>
        <w:numPr>
          <w:ilvl w:val="0"/>
          <w:numId w:val="2"/>
        </w:numPr>
        <w:shd w:val="clear" w:color="auto" w:fill="FFFFFF"/>
        <w:tabs>
          <w:tab w:val="clear" w:pos="709"/>
          <w:tab w:val="left" w:pos="1156" w:leader="none"/>
        </w:tabs>
        <w:suppressAutoHyphens w:val="false"/>
        <w:spacing w:lineRule="exact" w:line="263"/>
        <w:ind w:left="11" w:right="32" w:firstLine="688"/>
        <w:jc w:val="both"/>
        <w:rPr>
          <w:spacing w:val="-10"/>
        </w:rPr>
      </w:pPr>
      <w:r>
        <w:rPr>
          <w:spacing w:val="-4"/>
        </w:rPr>
        <w:t xml:space="preserve">Виконавець звільняється від відповідальності за шкоду, розмір якої визначено </w:t>
      </w:r>
      <w:r>
        <w:rPr>
          <w:spacing w:val="-1"/>
        </w:rPr>
        <w:t xml:space="preserve">Замовником самостійно, без участі уповноважених представників Виконавця, через </w:t>
      </w:r>
      <w:r>
        <w:rPr/>
        <w:t>відсутність письмового повідомлення останньої про час визначення розмірів шкоди та зняття залишків товарно-матеріальних цінностей.</w:t>
      </w:r>
    </w:p>
    <w:p>
      <w:pPr>
        <w:pStyle w:val="Normal"/>
        <w:numPr>
          <w:ilvl w:val="0"/>
          <w:numId w:val="2"/>
        </w:numPr>
        <w:shd w:val="clear" w:color="auto" w:fill="FFFFFF"/>
        <w:tabs>
          <w:tab w:val="clear" w:pos="709"/>
          <w:tab w:val="left" w:pos="1156" w:leader="none"/>
        </w:tabs>
        <w:suppressAutoHyphens w:val="false"/>
        <w:spacing w:lineRule="exact" w:line="263"/>
        <w:ind w:left="11" w:right="50" w:firstLine="688"/>
        <w:jc w:val="both"/>
        <w:rPr>
          <w:spacing w:val="-11"/>
        </w:rPr>
      </w:pPr>
      <w:r>
        <w:rPr>
          <w:spacing w:val="-4"/>
        </w:rPr>
        <w:t xml:space="preserve">Виконавець звільняється від відповідальності за шкоду яку зазнав Замовник, </w:t>
      </w:r>
      <w:r>
        <w:rPr/>
        <w:t xml:space="preserve">якщо особу, яка їх спричинила, затримано та доставлено до територіального органу </w:t>
      </w:r>
      <w:r>
        <w:rPr>
          <w:lang w:val="ru-RU"/>
        </w:rPr>
        <w:t>Національно</w:t>
      </w:r>
      <w:r>
        <w:rPr/>
        <w:t>ї поліції.</w:t>
      </w:r>
    </w:p>
    <w:p>
      <w:pPr>
        <w:pStyle w:val="Normal"/>
        <w:jc w:val="both"/>
        <w:rPr>
          <w:b/>
          <w:b/>
          <w:color w:val="000000"/>
        </w:rPr>
      </w:pPr>
      <w:r>
        <w:rPr>
          <w:b/>
          <w:color w:val="000000"/>
        </w:rPr>
      </w:r>
    </w:p>
    <w:p>
      <w:pPr>
        <w:pStyle w:val="Normal"/>
        <w:jc w:val="center"/>
        <w:rPr>
          <w:b/>
          <w:b/>
        </w:rPr>
      </w:pPr>
      <w:r>
        <w:rPr>
          <w:b/>
        </w:rPr>
        <w:t>8. ВІДПОВІДАЛЬНІСТЬ ЗАМОВНИКА</w:t>
      </w:r>
    </w:p>
    <w:p>
      <w:pPr>
        <w:pStyle w:val="Normal"/>
        <w:jc w:val="center"/>
        <w:rPr>
          <w:b/>
          <w:b/>
        </w:rPr>
      </w:pPr>
      <w:r>
        <w:rPr>
          <w:b/>
        </w:rPr>
      </w:r>
    </w:p>
    <w:p>
      <w:pPr>
        <w:pStyle w:val="Normal"/>
        <w:ind w:firstLine="540"/>
        <w:jc w:val="both"/>
        <w:rPr>
          <w:color w:val="FF0000"/>
        </w:rPr>
      </w:pPr>
      <w:r>
        <w:rPr>
          <w:b/>
        </w:rPr>
        <w:t>8.1.</w:t>
      </w:r>
      <w:r>
        <w:rPr/>
        <w:t xml:space="preserve"> 7.4 У випадку порушення термінів оплати Замовник сплачує пеню у розмірі 0,1%  несплаченої суми за кожен день прострочення, а за прострочення понад 30 днів – додатково штраф у розмірі 7 % цієї суми крім випадків затримки фінансування Замовника, зазначених у п.3.2 Договору.</w:t>
      </w:r>
    </w:p>
    <w:p>
      <w:pPr>
        <w:pStyle w:val="Normal"/>
        <w:jc w:val="center"/>
        <w:rPr>
          <w:b/>
          <w:b/>
        </w:rPr>
      </w:pPr>
      <w:r>
        <w:rPr>
          <w:b/>
        </w:rPr>
      </w:r>
    </w:p>
    <w:p>
      <w:pPr>
        <w:pStyle w:val="Normal"/>
        <w:jc w:val="center"/>
        <w:rPr>
          <w:b/>
          <w:b/>
        </w:rPr>
      </w:pPr>
      <w:r>
        <w:rPr>
          <w:b/>
        </w:rPr>
        <w:t>9. ПРАВА СТОРІН</w:t>
      </w:r>
    </w:p>
    <w:p>
      <w:pPr>
        <w:pStyle w:val="Normal"/>
        <w:shd w:val="clear" w:color="auto" w:fill="FFFFFF"/>
        <w:tabs>
          <w:tab w:val="clear" w:pos="709"/>
          <w:tab w:val="left" w:pos="1260" w:leader="none"/>
        </w:tabs>
        <w:suppressAutoHyphens w:val="false"/>
        <w:spacing w:lineRule="exact" w:line="263"/>
        <w:ind w:firstLine="510"/>
        <w:jc w:val="both"/>
        <w:rPr>
          <w:b/>
          <w:b/>
          <w:spacing w:val="-10"/>
        </w:rPr>
      </w:pPr>
      <w:r>
        <w:rPr>
          <w:b/>
          <w:spacing w:val="-10"/>
        </w:rPr>
        <w:t>9.1. Замовник має право:</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9.1.1.</w:t>
      </w:r>
      <w:r>
        <w:rPr>
          <w:spacing w:val="-10"/>
        </w:rPr>
        <w:t xml:space="preserve"> Самостійно призначати довірених осіб для участі в комісії по обстеженню об’єкта.</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9.1.2.</w:t>
      </w:r>
      <w:r>
        <w:rPr>
          <w:spacing w:val="-10"/>
        </w:rPr>
        <w:t xml:space="preserve"> Вимагати від Виконавця безперебійної роботи сигналізації та негайного виїзду ГМР на об’єкт.</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9.1.3.</w:t>
      </w:r>
      <w:r>
        <w:rPr>
          <w:spacing w:val="-10"/>
        </w:rPr>
        <w:t xml:space="preserve"> Інформувати керівництво Виконавця про недоліки у здійсненні працівниками Виконавця договірних зобов’язань, що негайно впливають на стан забезпечення надійної охорони для вживання необхідних заходів.</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9.1.4.</w:t>
      </w:r>
      <w:r>
        <w:rPr>
          <w:spacing w:val="-10"/>
        </w:rPr>
        <w:t xml:space="preserve"> Розірвати Договір в односторонньому порядку, письмо попередивши про це Виконавця не менше ніж за тридцять календарних днів.</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9.1.5</w:t>
      </w:r>
      <w:r>
        <w:rPr>
          <w:spacing w:val="-10"/>
        </w:rPr>
        <w:t>. Зменшувати обсяг закупівель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9.1.6.</w:t>
      </w:r>
      <w:r>
        <w:rPr>
          <w:spacing w:val="-10"/>
        </w:rPr>
        <w:t xml:space="preserve"> Повернути рахунок Виконавцю без здійснення оплати в разі неналежного оформлення документів (відсутність печатки, підписів та невірність розрахунку вартості послуг).</w:t>
      </w:r>
    </w:p>
    <w:p>
      <w:pPr>
        <w:pStyle w:val="Normal"/>
        <w:shd w:val="clear" w:color="auto" w:fill="FFFFFF"/>
        <w:tabs>
          <w:tab w:val="clear" w:pos="709"/>
          <w:tab w:val="left" w:pos="1260" w:leader="none"/>
        </w:tabs>
        <w:suppressAutoHyphens w:val="false"/>
        <w:spacing w:lineRule="exact" w:line="263"/>
        <w:ind w:firstLine="510"/>
        <w:jc w:val="both"/>
        <w:rPr>
          <w:b/>
          <w:b/>
          <w:spacing w:val="-10"/>
        </w:rPr>
      </w:pPr>
      <w:r>
        <w:rPr>
          <w:b/>
          <w:spacing w:val="-10"/>
        </w:rPr>
        <w:t>9.2. Виконавець має право:</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9.2.1</w:t>
      </w:r>
      <w:r>
        <w:rPr>
          <w:spacing w:val="-10"/>
        </w:rPr>
        <w:t>. Розірвати Договір в односторонньому порядку вразі несвоєчасної оплати за послуги охорони, якщо таке порушення не спричинене п. 3.3. цього Договору, попередивши про це Замовника письмово не менше ніж за тридцять календарних днів.</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9.2.2.</w:t>
      </w:r>
      <w:r>
        <w:rPr>
          <w:spacing w:val="-10"/>
        </w:rPr>
        <w:t xml:space="preserve"> Належними йому технічними засобами, відповідно до їх призначення, фіксувати та документувати події, які можуть мати наслідки для визначення умов та обсягів відповідальності сторін за цим Договором.</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b/>
          <w:spacing w:val="-10"/>
        </w:rPr>
        <w:t>9.2.3.</w:t>
      </w:r>
      <w:r>
        <w:rPr>
          <w:spacing w:val="-10"/>
        </w:rPr>
        <w:t xml:space="preserve"> Приймати участь у роботі комісії по обстеженню об’єкта для: </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spacing w:val="-10"/>
        </w:rPr>
        <w:t>- встановлення причин спрацювання сигналізації;</w:t>
      </w:r>
    </w:p>
    <w:p>
      <w:pPr>
        <w:pStyle w:val="Normal"/>
        <w:shd w:val="clear" w:color="auto" w:fill="FFFFFF"/>
        <w:tabs>
          <w:tab w:val="clear" w:pos="709"/>
          <w:tab w:val="left" w:pos="1260" w:leader="none"/>
        </w:tabs>
        <w:suppressAutoHyphens w:val="false"/>
        <w:spacing w:lineRule="exact" w:line="263"/>
        <w:ind w:firstLine="510"/>
        <w:jc w:val="both"/>
        <w:rPr>
          <w:spacing w:val="-10"/>
        </w:rPr>
      </w:pPr>
      <w:r>
        <w:rPr>
          <w:spacing w:val="-10"/>
        </w:rPr>
        <w:t>- встановленню необхідності ремонту сигналізації на об’єкті.</w:t>
      </w:r>
    </w:p>
    <w:p>
      <w:pPr>
        <w:pStyle w:val="Normal"/>
        <w:ind w:firstLine="567"/>
        <w:jc w:val="both"/>
        <w:rPr>
          <w:b/>
          <w:b/>
        </w:rPr>
      </w:pPr>
      <w:r>
        <w:rPr>
          <w:b/>
        </w:rPr>
      </w:r>
    </w:p>
    <w:p>
      <w:pPr>
        <w:pStyle w:val="Normal"/>
        <w:jc w:val="both"/>
        <w:rPr>
          <w:b/>
          <w:b/>
          <w:color w:val="000000"/>
        </w:rPr>
      </w:pPr>
      <w:r>
        <w:rPr>
          <w:b/>
          <w:color w:val="000000"/>
        </w:rPr>
      </w:r>
    </w:p>
    <w:p>
      <w:pPr>
        <w:pStyle w:val="Normal"/>
        <w:jc w:val="center"/>
        <w:rPr>
          <w:b/>
          <w:b/>
        </w:rPr>
      </w:pPr>
      <w:r>
        <w:rPr>
          <w:b/>
        </w:rPr>
        <w:t>10. ДОДАТКОВІ УМОВИ</w:t>
      </w:r>
    </w:p>
    <w:p>
      <w:pPr>
        <w:pStyle w:val="Normal"/>
        <w:ind w:firstLine="567"/>
        <w:jc w:val="both"/>
        <w:rPr>
          <w:b/>
          <w:b/>
          <w:color w:val="000000"/>
        </w:rPr>
      </w:pPr>
      <w:r>
        <w:rPr>
          <w:b/>
        </w:rPr>
        <w:t>10.1.</w:t>
      </w:r>
      <w:r>
        <w:rPr/>
        <w:t xml:space="preserve"> Виконавець спільно з Замовником не менше 1 разу на рік, проводить обстеження технічного стану об’єктів, обладнаних сигналізацією, про що складається акт за підписами уповноважених представників Виконавця і Замовника із вказівкою строків усунення Замовником виявлених недоліків і строків повідомлення про це Виконавця.</w:t>
      </w:r>
    </w:p>
    <w:p>
      <w:pPr>
        <w:pStyle w:val="Normal"/>
        <w:ind w:firstLine="567"/>
        <w:jc w:val="both"/>
        <w:rPr>
          <w:b/>
          <w:b/>
          <w:color w:val="000000"/>
        </w:rPr>
      </w:pPr>
      <w:r>
        <w:rPr>
          <w:b/>
        </w:rPr>
        <w:t>10.</w:t>
      </w:r>
      <w:r>
        <w:rPr>
          <w:b/>
          <w:lang w:val="ru-RU"/>
        </w:rPr>
        <w:t>2</w:t>
      </w:r>
      <w:r>
        <w:rPr>
          <w:b/>
        </w:rPr>
        <w:t>.</w:t>
      </w:r>
      <w:r>
        <w:rPr/>
        <w:t xml:space="preserve"> Сигналізація на об’єкті тимчасово не приймається під спостереження у випадках затоплення, відключення електроенергії, чи її невідповідності параметрам режиму охорони (не з вини Виконавця), але на строк не більше ніж два місяці. У цей період охорона здійснюється силами Замовника, або представниками Виконавця (за окремими угодами).</w:t>
      </w:r>
    </w:p>
    <w:p>
      <w:pPr>
        <w:pStyle w:val="Normal"/>
        <w:jc w:val="center"/>
        <w:rPr>
          <w:b/>
          <w:b/>
        </w:rPr>
      </w:pPr>
      <w:r>
        <w:rPr>
          <w:b/>
        </w:rPr>
      </w:r>
    </w:p>
    <w:p>
      <w:pPr>
        <w:pStyle w:val="Normal"/>
        <w:jc w:val="center"/>
        <w:rPr>
          <w:b/>
          <w:b/>
          <w:lang w:val="ru-RU"/>
        </w:rPr>
      </w:pPr>
      <w:r>
        <w:rPr>
          <w:b/>
        </w:rPr>
        <w:t>11. ПРИКІНЦЕВІ ПОЛОЖЕННЯ</w:t>
      </w:r>
    </w:p>
    <w:p>
      <w:pPr>
        <w:pStyle w:val="Normal"/>
        <w:ind w:firstLine="567"/>
        <w:jc w:val="both"/>
        <w:rPr>
          <w:spacing w:val="-1"/>
          <w:lang w:eastAsia="ru-RU"/>
        </w:rPr>
      </w:pPr>
      <w:r>
        <w:rPr>
          <w:b/>
        </w:rPr>
        <w:t>11.1.</w:t>
      </w:r>
      <w:r>
        <w:rPr>
          <w:spacing w:val="-3"/>
          <w:lang w:eastAsia="ru-RU"/>
        </w:rPr>
        <w:t>Цей Договір  набирає чинності з 01 січня 202</w:t>
      </w:r>
      <w:r>
        <w:rPr>
          <w:spacing w:val="-3"/>
          <w:lang w:val="ru-RU" w:eastAsia="ru-RU"/>
        </w:rPr>
        <w:t>3</w:t>
      </w:r>
      <w:r>
        <w:rPr>
          <w:spacing w:val="-3"/>
          <w:lang w:eastAsia="ru-RU"/>
        </w:rPr>
        <w:t xml:space="preserve"> року і діє до 31 грудня 202</w:t>
      </w:r>
      <w:r>
        <w:rPr>
          <w:spacing w:val="-3"/>
          <w:lang w:val="ru-RU" w:eastAsia="ru-RU"/>
        </w:rPr>
        <w:t>3</w:t>
      </w:r>
      <w:r>
        <w:rPr>
          <w:spacing w:val="-3"/>
          <w:lang w:eastAsia="ru-RU"/>
        </w:rPr>
        <w:t xml:space="preserve"> року включно</w:t>
      </w:r>
      <w:r>
        <w:rPr>
          <w:spacing w:val="-1"/>
          <w:lang w:eastAsia="ru-RU"/>
        </w:rPr>
        <w:t>, а в частині розрахунків до повного їх здійснення.</w:t>
      </w:r>
    </w:p>
    <w:p>
      <w:pPr>
        <w:pStyle w:val="Normal"/>
        <w:shd w:val="clear" w:color="auto" w:fill="FFFFFF"/>
        <w:tabs>
          <w:tab w:val="clear" w:pos="709"/>
          <w:tab w:val="left" w:pos="567" w:leader="none"/>
        </w:tabs>
        <w:suppressAutoHyphens w:val="false"/>
        <w:ind w:firstLine="567"/>
        <w:jc w:val="both"/>
        <w:rPr>
          <w:lang w:eastAsia="ru-RU"/>
        </w:rPr>
      </w:pPr>
      <w:r>
        <w:rPr>
          <w:b/>
          <w:lang w:eastAsia="ru-RU"/>
        </w:rPr>
        <w:t>11.2.</w:t>
      </w:r>
      <w:r>
        <w:rPr>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uppressAutoHyphens w:val="false"/>
        <w:ind w:firstLine="567"/>
        <w:jc w:val="both"/>
        <w:textAlignment w:val="baseline"/>
        <w:rPr>
          <w:lang w:val="ru-RU"/>
        </w:rPr>
      </w:pPr>
      <w:r>
        <w:rPr/>
        <w:t>1) зменшення обсягів закупівлі, зокрема з урахуванням фактичного обсягу видатків замовника;</w:t>
      </w:r>
    </w:p>
    <w:p>
      <w:pPr>
        <w:pStyle w:val="Normal"/>
        <w:shd w:val="clear" w:color="auto" w:fill="FFFFFF"/>
        <w:suppressAutoHyphens w:val="false"/>
        <w:ind w:firstLine="567"/>
        <w:jc w:val="both"/>
        <w:textAlignment w:val="baseline"/>
        <w:rPr>
          <w:lang w:val="ru-RU"/>
        </w:rPr>
      </w:pPr>
      <w:r>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pPr>
        <w:pStyle w:val="Normal"/>
        <w:shd w:val="clear" w:color="auto" w:fill="FFFFFF"/>
        <w:suppressAutoHyphens w:val="false"/>
        <w:ind w:firstLine="567"/>
        <w:jc w:val="both"/>
        <w:textAlignment w:val="baseline"/>
        <w:rPr>
          <w:b/>
          <w:b/>
          <w:color w:val="000000"/>
        </w:rPr>
      </w:pPr>
      <w:r>
        <w:rPr>
          <w:lang w:val="ru-RU"/>
        </w:rPr>
        <w:t>3</w:t>
      </w:r>
      <w:r>
        <w:rPr/>
        <w:t>) покращення якості предмета закупівлі за умови, що таке покращення не призведе до збільшення суми, визначеної в договорі;</w:t>
      </w:r>
    </w:p>
    <w:p>
      <w:pPr>
        <w:pStyle w:val="Normal"/>
        <w:shd w:val="clear" w:color="auto" w:fill="FFFFFF"/>
        <w:suppressAutoHyphens w:val="false"/>
        <w:ind w:firstLine="567"/>
        <w:jc w:val="both"/>
        <w:textAlignment w:val="baseline"/>
        <w:rPr>
          <w:b/>
          <w:b/>
          <w:color w:val="000000"/>
        </w:rPr>
      </w:pPr>
      <w:r>
        <w:rPr>
          <w:lang w:val="ru-RU"/>
        </w:rPr>
        <w:t>4</w:t>
      </w:r>
      <w:r>
        <w:rPr/>
        <w:t>)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Normal"/>
        <w:shd w:val="clear" w:color="auto" w:fill="FFFFFF"/>
        <w:suppressAutoHyphens w:val="false"/>
        <w:ind w:firstLine="567"/>
        <w:jc w:val="both"/>
        <w:textAlignment w:val="baseline"/>
        <w:rPr>
          <w:b/>
          <w:b/>
          <w:color w:val="000000"/>
        </w:rPr>
      </w:pPr>
      <w:r>
        <w:rPr/>
        <w:t>5) узгодженої зміни ціни в бік зменшення (без зміни кількості (обсягу) та якості Послуг);</w:t>
      </w:r>
    </w:p>
    <w:p>
      <w:pPr>
        <w:pStyle w:val="Normal"/>
        <w:shd w:val="clear" w:color="auto" w:fill="FFFFFF"/>
        <w:suppressAutoHyphens w:val="false"/>
        <w:ind w:firstLine="567"/>
        <w:jc w:val="both"/>
        <w:textAlignment w:val="baseline"/>
        <w:rPr>
          <w:b/>
          <w:b/>
          <w:color w:val="000000"/>
        </w:rPr>
      </w:pPr>
      <w:r>
        <w:rPr>
          <w:lang w:val="ru-RU"/>
        </w:rPr>
        <w:t>6</w:t>
      </w:r>
      <w:r>
        <w:rPr/>
        <w:t>) зміни ціни у зв’язку із зміною ставок податків і зборів пропорційно до змін таких ставок;</w:t>
      </w:r>
    </w:p>
    <w:p>
      <w:pPr>
        <w:pStyle w:val="Normal"/>
        <w:shd w:val="clear" w:color="auto" w:fill="FFFFFF"/>
        <w:suppressAutoHyphens w:val="false"/>
        <w:ind w:firstLine="567"/>
        <w:jc w:val="both"/>
        <w:textAlignment w:val="baseline"/>
        <w:rPr>
          <w:b/>
          <w:b/>
          <w:color w:val="000000"/>
        </w:rPr>
      </w:pPr>
      <w: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pPr>
        <w:pStyle w:val="Normal"/>
        <w:shd w:val="clear" w:color="auto" w:fill="FFFFFF"/>
        <w:suppressAutoHyphens w:val="false"/>
        <w:ind w:firstLine="567"/>
        <w:jc w:val="both"/>
        <w:textAlignment w:val="baseline"/>
        <w:rPr>
          <w:b/>
          <w:b/>
          <w:color w:val="000000"/>
        </w:rPr>
      </w:pPr>
      <w:r>
        <w:rPr>
          <w:lang w:val="ru-RU"/>
        </w:rPr>
        <w:t>8) д</w:t>
      </w:r>
      <w:r>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rmal"/>
        <w:ind w:firstLine="567"/>
        <w:jc w:val="both"/>
        <w:rPr>
          <w:b/>
          <w:b/>
          <w:color w:val="000000"/>
        </w:rPr>
      </w:pPr>
      <w:r>
        <w:rPr>
          <w:b/>
        </w:rPr>
        <w:t>11.3.</w:t>
      </w:r>
      <w:r>
        <w:rPr/>
        <w:t xml:space="preserve"> Договір з додатками, які є його невід’ємною частиною, складається у двох примірниках, що мають однакову юридичну силу. Один примірник знаходиться в Виконавця           , другий – у Замовника.</w:t>
      </w:r>
    </w:p>
    <w:p>
      <w:pPr>
        <w:pStyle w:val="Normal"/>
        <w:ind w:firstLine="567"/>
        <w:jc w:val="both"/>
        <w:rPr>
          <w:b/>
          <w:b/>
          <w:color w:val="000000"/>
        </w:rPr>
      </w:pPr>
      <w:r>
        <w:rPr>
          <w:b/>
          <w:color w:val="000000"/>
        </w:rPr>
      </w:r>
    </w:p>
    <w:p>
      <w:pPr>
        <w:pStyle w:val="Normal"/>
        <w:jc w:val="center"/>
        <w:rPr>
          <w:b/>
          <w:b/>
        </w:rPr>
      </w:pPr>
      <w:r>
        <w:rPr>
          <w:b/>
        </w:rPr>
        <w:t>12. ФОРС-МАЖОР</w:t>
      </w:r>
    </w:p>
    <w:p>
      <w:pPr>
        <w:pStyle w:val="ListParagraph1"/>
        <w:shd w:val="clear" w:color="auto" w:fill="FFFFFF"/>
        <w:tabs>
          <w:tab w:val="clear" w:pos="709"/>
          <w:tab w:val="left" w:pos="426" w:leader="none"/>
        </w:tabs>
        <w:ind w:left="0" w:firstLine="567"/>
        <w:jc w:val="both"/>
        <w:rPr>
          <w:rFonts w:ascii="Times New Roman" w:hAnsi="Times New Roman"/>
          <w:lang w:val="uk-UA"/>
        </w:rPr>
      </w:pPr>
      <w:r>
        <w:rPr>
          <w:rFonts w:ascii="Times New Roman" w:hAnsi="Times New Roman"/>
          <w:b/>
          <w:lang w:val="uk-UA"/>
        </w:rPr>
        <w:t>12.1</w:t>
      </w:r>
      <w:r>
        <w:rPr>
          <w:rFonts w:ascii="Times New Roman" w:hAnsi="Times New Roman"/>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1"/>
        <w:shd w:val="clear" w:color="auto" w:fill="FFFFFF"/>
        <w:tabs>
          <w:tab w:val="clear" w:pos="709"/>
          <w:tab w:val="left" w:pos="426" w:leader="none"/>
        </w:tabs>
        <w:ind w:left="0" w:firstLine="567"/>
        <w:jc w:val="both"/>
        <w:rPr>
          <w:rFonts w:ascii="Times New Roman" w:hAnsi="Times New Roman"/>
          <w:lang w:val="uk-UA"/>
        </w:rPr>
      </w:pPr>
      <w:r>
        <w:rPr>
          <w:rFonts w:ascii="Times New Roman" w:hAnsi="Times New Roman"/>
          <w:b/>
          <w:lang w:val="uk-UA"/>
        </w:rPr>
        <w:t>12.2.</w:t>
      </w:r>
      <w:r>
        <w:rPr>
          <w:rFonts w:ascii="Times New Roman" w:hAnsi="Times New Roman"/>
          <w:lang w:val="uk-UA"/>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ListParagraph1"/>
        <w:shd w:val="clear" w:color="auto" w:fill="FFFFFF"/>
        <w:tabs>
          <w:tab w:val="clear" w:pos="709"/>
          <w:tab w:val="left" w:pos="426" w:leader="none"/>
        </w:tabs>
        <w:ind w:left="0" w:firstLine="567"/>
        <w:jc w:val="both"/>
        <w:rPr>
          <w:rFonts w:ascii="Times New Roman" w:hAnsi="Times New Roman"/>
          <w:lang w:val="uk-UA"/>
        </w:rPr>
      </w:pPr>
      <w:r>
        <w:rPr>
          <w:rFonts w:ascii="Times New Roman" w:hAnsi="Times New Roman"/>
          <w:b/>
          <w:bCs/>
          <w:lang w:val="uk-UA"/>
        </w:rPr>
        <w:t xml:space="preserve">12.3. </w:t>
      </w:r>
      <w:r>
        <w:rPr>
          <w:rFonts w:ascii="Times New Roman" w:hAnsi="Times New Roman"/>
          <w:lang w:val="uk-UA"/>
        </w:rPr>
        <w:t>Строк виконання зобов'язань відкладається на строк дії форс-мажорних обставин.</w:t>
      </w:r>
    </w:p>
    <w:p>
      <w:pPr>
        <w:pStyle w:val="ListParagraph1"/>
        <w:shd w:val="clear" w:color="auto" w:fill="FFFFFF"/>
        <w:tabs>
          <w:tab w:val="clear" w:pos="709"/>
          <w:tab w:val="left" w:pos="426" w:leader="none"/>
        </w:tabs>
        <w:ind w:left="0" w:firstLine="567"/>
        <w:jc w:val="both"/>
        <w:rPr>
          <w:rFonts w:ascii="Times New Roman" w:hAnsi="Times New Roman"/>
          <w:lang w:val="uk-UA"/>
        </w:rPr>
      </w:pPr>
      <w:r>
        <w:rPr>
          <w:rFonts w:ascii="Times New Roman" w:hAnsi="Times New Roman"/>
          <w:b/>
          <w:lang w:val="uk-UA"/>
        </w:rPr>
        <w:t>12.4</w:t>
      </w:r>
      <w:r>
        <w:rPr>
          <w:rFonts w:ascii="Times New Roman" w:hAnsi="Times New Roman"/>
          <w:lang w:val="uk-UA"/>
        </w:rPr>
        <w:t>. Засвідчення форс-мажорних обставин здійснюється на підставі довідки уповноваженого органу, згідно з вимогами чинного законодавста.</w:t>
      </w:r>
    </w:p>
    <w:p>
      <w:pPr>
        <w:pStyle w:val="ListParagraph1"/>
        <w:shd w:val="clear" w:color="auto" w:fill="FFFFFF"/>
        <w:tabs>
          <w:tab w:val="clear" w:pos="709"/>
          <w:tab w:val="left" w:pos="426" w:leader="none"/>
        </w:tabs>
        <w:ind w:left="0" w:firstLine="567"/>
        <w:jc w:val="both"/>
        <w:rPr>
          <w:rFonts w:ascii="Times New Roman" w:hAnsi="Times New Roman"/>
          <w:lang w:val="uk-UA"/>
        </w:rPr>
      </w:pPr>
      <w:r>
        <w:rPr>
          <w:rFonts w:ascii="Times New Roman" w:hAnsi="Times New Roman"/>
          <w:b/>
          <w:lang w:val="uk-UA"/>
        </w:rPr>
        <w:t>12.5.</w:t>
      </w:r>
      <w:r>
        <w:rPr>
          <w:rFonts w:ascii="Times New Roman" w:hAnsi="Times New Roman"/>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1"/>
        <w:shd w:val="clear" w:color="auto" w:fill="FFFFFF"/>
        <w:tabs>
          <w:tab w:val="clear" w:pos="709"/>
          <w:tab w:val="left" w:pos="426" w:leader="none"/>
        </w:tabs>
        <w:ind w:left="0" w:firstLine="567"/>
        <w:jc w:val="both"/>
        <w:rPr>
          <w:rFonts w:ascii="Times New Roman" w:hAnsi="Times New Roman"/>
          <w:lang w:val="uk-UA"/>
        </w:rPr>
      </w:pPr>
      <w:r>
        <w:rPr>
          <w:rFonts w:ascii="Times New Roman" w:hAnsi="Times New Roman"/>
          <w:b/>
          <w:lang w:val="uk-UA"/>
        </w:rPr>
        <w:t>12.6.</w:t>
      </w:r>
      <w:r>
        <w:rPr>
          <w:rFonts w:ascii="Times New Roman" w:hAnsi="Times New Roman"/>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ListParagraph1"/>
        <w:shd w:val="clear" w:color="auto" w:fill="FFFFFF"/>
        <w:tabs>
          <w:tab w:val="clear" w:pos="709"/>
          <w:tab w:val="left" w:pos="426" w:leader="none"/>
        </w:tabs>
        <w:ind w:left="0" w:firstLine="567"/>
        <w:jc w:val="both"/>
        <w:rPr>
          <w:rFonts w:ascii="Times New Roman" w:hAnsi="Times New Roman"/>
          <w:lang w:val="uk-UA"/>
        </w:rPr>
      </w:pPr>
      <w:r>
        <w:rPr>
          <w:rFonts w:ascii="Times New Roman" w:hAnsi="Times New Roman"/>
          <w:lang w:val="uk-UA"/>
        </w:rPr>
      </w:r>
    </w:p>
    <w:p>
      <w:pPr>
        <w:pStyle w:val="Normal"/>
        <w:suppressAutoHyphens w:val="false"/>
        <w:ind w:firstLine="709"/>
        <w:jc w:val="center"/>
        <w:rPr>
          <w:b/>
          <w:b/>
          <w:bCs/>
          <w:lang w:val="ru-RU" w:eastAsia="ru-RU"/>
        </w:rPr>
      </w:pPr>
      <w:r>
        <w:rPr>
          <w:b/>
          <w:bCs/>
          <w:lang w:val="ru-RU" w:eastAsia="ru-RU"/>
        </w:rPr>
        <w:t>13. ДОДАТКИ ДО ДОГОВОРУ</w:t>
      </w:r>
    </w:p>
    <w:p>
      <w:pPr>
        <w:pStyle w:val="Western"/>
        <w:spacing w:before="0" w:after="0"/>
        <w:ind w:left="142" w:right="283" w:firstLine="567"/>
        <w:jc w:val="both"/>
        <w:rPr>
          <w:b/>
          <w:b/>
          <w:bCs/>
          <w:lang w:val="uk-UA" w:eastAsia="uk-UA"/>
        </w:rPr>
      </w:pPr>
      <w:r>
        <w:rPr>
          <w:b/>
          <w:bCs/>
          <w:lang w:val="uk-UA" w:eastAsia="uk-UA"/>
        </w:rPr>
      </w:r>
    </w:p>
    <w:p>
      <w:pPr>
        <w:pStyle w:val="Western"/>
        <w:spacing w:before="0" w:after="0"/>
        <w:ind w:left="142" w:right="283" w:firstLine="567"/>
        <w:jc w:val="both"/>
        <w:rPr>
          <w:b/>
          <w:b/>
          <w:color w:val="000000"/>
          <w:lang w:val="uk-UA"/>
        </w:rPr>
      </w:pPr>
      <w:r>
        <w:rPr>
          <w:b/>
          <w:lang w:val="uk-UA"/>
        </w:rPr>
        <w:t>13.1.</w:t>
      </w:r>
      <w:r>
        <w:rPr>
          <w:lang w:val="uk-UA"/>
        </w:rPr>
        <w:t xml:space="preserve"> Додатки до цього Договору є його невід`ємною частиною: </w:t>
      </w:r>
    </w:p>
    <w:p>
      <w:pPr>
        <w:pStyle w:val="Western"/>
        <w:spacing w:before="0" w:after="0"/>
        <w:ind w:left="142" w:right="283" w:firstLine="567"/>
        <w:jc w:val="both"/>
        <w:rPr>
          <w:b/>
          <w:b/>
          <w:color w:val="000000"/>
          <w:lang w:val="uk-UA"/>
        </w:rPr>
      </w:pPr>
      <w:r>
        <w:rPr>
          <w:lang w:val="uk-UA"/>
        </w:rPr>
        <w:t xml:space="preserve">Додаток № 1 «Перелік об’єктів». </w:t>
      </w:r>
    </w:p>
    <w:p>
      <w:pPr>
        <w:pStyle w:val="Western"/>
        <w:spacing w:before="0" w:after="0"/>
        <w:ind w:left="142" w:right="283" w:firstLine="567"/>
        <w:jc w:val="both"/>
        <w:rPr>
          <w:lang w:val="uk-UA"/>
        </w:rPr>
      </w:pPr>
      <w:r>
        <w:rPr>
          <w:lang w:val="uk-UA"/>
        </w:rPr>
        <w:t>Додаток № 2 «Акт здачі-прийняття об’єкту під охорону».</w:t>
      </w:r>
    </w:p>
    <w:p>
      <w:pPr>
        <w:pStyle w:val="Western"/>
        <w:spacing w:before="0" w:after="0"/>
        <w:ind w:left="142" w:right="283" w:firstLine="567"/>
        <w:jc w:val="both"/>
        <w:rPr>
          <w:lang w:val="uk-UA"/>
        </w:rPr>
      </w:pPr>
      <w:r>
        <w:rPr/>
        <w:t xml:space="preserve">Додаток № </w:t>
      </w:r>
      <w:r>
        <w:rPr>
          <w:lang w:val="uk-UA"/>
        </w:rPr>
        <w:t>3</w:t>
      </w:r>
      <w:r>
        <w:rPr/>
        <w:t xml:space="preserve"> «</w:t>
      </w:r>
      <w:r>
        <w:rPr>
          <w:lang w:val="uk-UA"/>
        </w:rPr>
        <w:t>Інструкція з правил користування сигналізацією</w:t>
      </w:r>
      <w:r>
        <w:rPr/>
        <w:t>».</w:t>
      </w:r>
    </w:p>
    <w:p>
      <w:pPr>
        <w:pStyle w:val="Western"/>
        <w:spacing w:before="0" w:after="0"/>
        <w:ind w:left="142" w:right="283" w:firstLine="567"/>
        <w:jc w:val="both"/>
        <w:rPr>
          <w:lang w:val="uk-UA"/>
        </w:rPr>
      </w:pPr>
      <w:r>
        <w:rPr>
          <w:lang w:val="uk-UA"/>
        </w:rPr>
      </w:r>
    </w:p>
    <w:p>
      <w:pPr>
        <w:pStyle w:val="Normal"/>
        <w:suppressAutoHyphens w:val="false"/>
        <w:ind w:firstLine="709"/>
        <w:jc w:val="center"/>
        <w:rPr>
          <w:b/>
          <w:b/>
          <w:bCs/>
          <w:lang w:val="ru-RU" w:eastAsia="ru-RU"/>
        </w:rPr>
      </w:pPr>
      <w:r>
        <w:rPr>
          <w:b/>
          <w:bCs/>
          <w:lang w:val="ru-RU" w:eastAsia="ru-RU"/>
        </w:rPr>
        <w:t xml:space="preserve">14. </w:t>
      </w:r>
      <w:r>
        <w:rPr>
          <w:b/>
          <w:bCs/>
          <w:lang w:eastAsia="ru-RU"/>
        </w:rPr>
        <w:t>ЮРИДИЧНІ АДРЕСИ ТА РЕКВІЗИТИ СТОРІН</w:t>
      </w:r>
      <w:r>
        <w:rPr>
          <w:b/>
          <w:bCs/>
          <w:lang w:val="ru-RU" w:eastAsia="ru-RU"/>
        </w:rPr>
        <w:t>:</w:t>
      </w:r>
    </w:p>
    <w:p>
      <w:pPr>
        <w:pStyle w:val="Normal"/>
        <w:suppressAutoHyphens w:val="false"/>
        <w:ind w:firstLine="709"/>
        <w:jc w:val="center"/>
        <w:rPr>
          <w:b/>
          <w:b/>
          <w:bCs/>
          <w:lang w:val="ru-RU" w:eastAsia="ru-RU"/>
        </w:rPr>
      </w:pPr>
      <w:r>
        <w:rPr>
          <w:b/>
          <w:bCs/>
          <w:lang w:val="ru-RU" w:eastAsia="ru-RU"/>
        </w:rPr>
      </w:r>
    </w:p>
    <w:p>
      <w:pPr>
        <w:pStyle w:val="Normal"/>
        <w:suppressAutoHyphens w:val="false"/>
        <w:rPr>
          <w:lang w:eastAsia="ru-RU"/>
        </w:rPr>
      </w:pPr>
      <w:r>
        <w:rPr>
          <w:lang w:eastAsia="ru-RU"/>
        </w:rPr>
      </w:r>
    </w:p>
    <w:tbl>
      <w:tblPr>
        <w:tblW w:w="9210" w:type="dxa"/>
        <w:jc w:val="left"/>
        <w:tblInd w:w="177" w:type="dxa"/>
        <w:tblCellMar>
          <w:top w:w="0" w:type="dxa"/>
          <w:left w:w="108" w:type="dxa"/>
          <w:bottom w:w="0" w:type="dxa"/>
          <w:right w:w="108" w:type="dxa"/>
        </w:tblCellMar>
        <w:tblLook w:val="0000"/>
      </w:tblPr>
      <w:tblGrid>
        <w:gridCol w:w="4680"/>
        <w:gridCol w:w="4529"/>
      </w:tblGrid>
      <w:tr>
        <w:trPr>
          <w:trHeight w:val="3870" w:hRule="atLeast"/>
        </w:trPr>
        <w:tc>
          <w:tcPr>
            <w:tcW w:w="4680" w:type="dxa"/>
            <w:tcBorders>
              <w:top w:val="single" w:sz="4" w:space="0" w:color="000000"/>
              <w:left w:val="single" w:sz="4" w:space="0" w:color="000000"/>
              <w:bottom w:val="single" w:sz="4" w:space="0" w:color="000000"/>
              <w:right w:val="single" w:sz="4" w:space="0" w:color="000000"/>
            </w:tcBorders>
          </w:tcPr>
          <w:p>
            <w:pPr>
              <w:pStyle w:val="Normal"/>
              <w:jc w:val="both"/>
              <w:rPr>
                <w:b/>
                <w:b/>
                <w:bCs/>
                <w:color w:val="000000"/>
              </w:rPr>
            </w:pPr>
            <w:r>
              <w:rPr>
                <w:b/>
                <w:bCs/>
                <w:color w:val="000000"/>
              </w:rPr>
              <w:t>Замовник</w:t>
            </w:r>
          </w:p>
          <w:p>
            <w:pPr>
              <w:pStyle w:val="Normal"/>
              <w:spacing w:lineRule="atLeast" w:line="200"/>
              <w:rPr>
                <w:b/>
                <w:b/>
                <w:color w:val="000000"/>
                <w:sz w:val="28"/>
                <w:szCs w:val="28"/>
              </w:rPr>
            </w:pPr>
            <w:r>
              <w:rPr/>
              <w:t>Головне управління Пенсійного фонду</w:t>
            </w:r>
          </w:p>
          <w:p>
            <w:pPr>
              <w:pStyle w:val="Normal"/>
              <w:spacing w:lineRule="atLeast" w:line="200"/>
              <w:rPr>
                <w:b/>
                <w:b/>
                <w:color w:val="000000"/>
                <w:sz w:val="28"/>
                <w:szCs w:val="28"/>
              </w:rPr>
            </w:pPr>
            <w:r>
              <w:rPr/>
              <w:t>України в Тернопільській області</w:t>
            </w:r>
          </w:p>
          <w:p>
            <w:pPr>
              <w:pStyle w:val="Normal"/>
              <w:spacing w:lineRule="atLeast" w:line="200"/>
              <w:rPr>
                <w:b/>
                <w:b/>
                <w:color w:val="000000"/>
                <w:sz w:val="28"/>
                <w:szCs w:val="28"/>
              </w:rPr>
            </w:pPr>
            <w:r>
              <w:rPr/>
              <w:t xml:space="preserve">46001, Тернопільська область, </w:t>
            </w:r>
          </w:p>
          <w:p>
            <w:pPr>
              <w:pStyle w:val="Normal"/>
              <w:spacing w:lineRule="atLeast" w:line="200"/>
              <w:jc w:val="both"/>
              <w:rPr>
                <w:b/>
                <w:b/>
                <w:color w:val="000000"/>
                <w:sz w:val="28"/>
                <w:szCs w:val="28"/>
              </w:rPr>
            </w:pPr>
            <w:r>
              <w:rPr/>
              <w:t>м. Тернопіль, Майдан Волі,3</w:t>
            </w:r>
          </w:p>
          <w:p>
            <w:pPr>
              <w:pStyle w:val="Normal"/>
              <w:spacing w:lineRule="atLeast" w:line="200"/>
              <w:rPr>
                <w:b/>
                <w:b/>
                <w:color w:val="000000"/>
                <w:sz w:val="28"/>
                <w:szCs w:val="28"/>
              </w:rPr>
            </w:pPr>
            <w:r>
              <w:rPr/>
              <w:t>Банк: філія Тернопільське обласне</w:t>
            </w:r>
          </w:p>
          <w:p>
            <w:pPr>
              <w:pStyle w:val="Normal"/>
              <w:spacing w:lineRule="atLeast" w:line="200"/>
              <w:rPr>
                <w:color w:val="000000"/>
              </w:rPr>
            </w:pPr>
            <w:r>
              <w:rPr/>
              <w:t>Управління АТ «Ощадбанк»</w:t>
            </w:r>
          </w:p>
          <w:p>
            <w:pPr>
              <w:pStyle w:val="Normal"/>
              <w:spacing w:lineRule="atLeast" w:line="200"/>
              <w:rPr>
                <w:b/>
                <w:b/>
                <w:color w:val="000000"/>
                <w:sz w:val="28"/>
                <w:szCs w:val="28"/>
              </w:rPr>
            </w:pPr>
            <w:r>
              <w:rPr/>
              <w:t xml:space="preserve">  </w:t>
            </w:r>
            <w:r>
              <w:rPr>
                <w:lang w:val="en-US"/>
              </w:rPr>
              <w:t>UA</w:t>
            </w:r>
            <w:r>
              <w:rPr/>
              <w:t xml:space="preserve"> 883385450000000256043030347</w:t>
            </w:r>
          </w:p>
          <w:p>
            <w:pPr>
              <w:pStyle w:val="Normal"/>
              <w:spacing w:lineRule="atLeast" w:line="200"/>
              <w:rPr>
                <w:b/>
                <w:b/>
                <w:color w:val="000000"/>
                <w:sz w:val="28"/>
                <w:szCs w:val="28"/>
              </w:rPr>
            </w:pPr>
            <w:r>
              <w:rPr/>
              <w:t>МФО 338545, код ЄДОПОУ 14035769</w:t>
            </w:r>
          </w:p>
          <w:p>
            <w:pPr>
              <w:pStyle w:val="Normal"/>
              <w:spacing w:lineRule="atLeast" w:line="200"/>
              <w:rPr>
                <w:b/>
                <w:b/>
                <w:color w:val="000000"/>
                <w:sz w:val="28"/>
                <w:szCs w:val="28"/>
              </w:rPr>
            </w:pPr>
            <w:r>
              <w:rPr>
                <w:b/>
                <w:color w:val="000000"/>
                <w:sz w:val="28"/>
                <w:szCs w:val="28"/>
              </w:rPr>
            </w:r>
          </w:p>
          <w:p>
            <w:pPr>
              <w:pStyle w:val="Normal"/>
              <w:spacing w:lineRule="atLeast" w:line="200"/>
              <w:rPr>
                <w:b/>
                <w:b/>
                <w:color w:val="000000"/>
                <w:sz w:val="28"/>
                <w:szCs w:val="28"/>
              </w:rPr>
            </w:pPr>
            <w:r>
              <w:rPr>
                <w:b/>
                <w:bCs/>
              </w:rPr>
              <w:t xml:space="preserve">Начальник Головного управління       </w:t>
            </w:r>
          </w:p>
          <w:p>
            <w:pPr>
              <w:pStyle w:val="Normal"/>
              <w:spacing w:lineRule="atLeast" w:line="200"/>
              <w:rPr>
                <w:b/>
                <w:b/>
                <w:bCs/>
              </w:rPr>
            </w:pPr>
            <w:r>
              <w:rPr>
                <w:b/>
                <w:bCs/>
              </w:rPr>
            </w:r>
          </w:p>
          <w:p>
            <w:pPr>
              <w:pStyle w:val="Normal"/>
              <w:spacing w:lineRule="atLeast" w:line="200"/>
              <w:rPr>
                <w:b/>
                <w:b/>
                <w:color w:val="000000"/>
                <w:sz w:val="28"/>
                <w:szCs w:val="28"/>
              </w:rPr>
            </w:pPr>
            <w:r>
              <w:rPr>
                <w:rStyle w:val="Style27"/>
                <w:b/>
                <w:bCs/>
                <w:color w:val="000000"/>
              </w:rPr>
              <w:t>_______________________І.І. Москалик</w:t>
            </w:r>
          </w:p>
          <w:p>
            <w:pPr>
              <w:pStyle w:val="Normal"/>
              <w:jc w:val="both"/>
              <w:rPr>
                <w:bCs/>
                <w:color w:val="000000"/>
              </w:rPr>
            </w:pPr>
            <w:r>
              <w:rPr>
                <w:bCs/>
                <w:color w:val="000000"/>
              </w:rPr>
            </w:r>
          </w:p>
        </w:tc>
        <w:tc>
          <w:tcPr>
            <w:tcW w:w="4529" w:type="dxa"/>
            <w:tcBorders>
              <w:top w:val="single" w:sz="4" w:space="0" w:color="000000"/>
              <w:left w:val="single" w:sz="4" w:space="0" w:color="000000"/>
              <w:bottom w:val="single" w:sz="4" w:space="0" w:color="000000"/>
              <w:right w:val="single" w:sz="4" w:space="0" w:color="000000"/>
            </w:tcBorders>
          </w:tcPr>
          <w:p>
            <w:pPr>
              <w:pStyle w:val="Normal"/>
              <w:jc w:val="both"/>
              <w:rPr>
                <w:b/>
                <w:b/>
                <w:bCs/>
                <w:color w:val="000000"/>
              </w:rPr>
            </w:pPr>
            <w:r>
              <w:rPr>
                <w:b/>
                <w:bCs/>
                <w:color w:val="000000"/>
              </w:rPr>
              <w:t>Виконавець</w:t>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t>____________________</w:t>
            </w:r>
          </w:p>
          <w:p>
            <w:pPr>
              <w:pStyle w:val="Normal"/>
              <w:jc w:val="both"/>
              <w:rPr>
                <w:b/>
                <w:b/>
                <w:bCs/>
                <w:color w:val="000000"/>
              </w:rPr>
            </w:pPr>
            <w:r>
              <w:rPr>
                <w:b/>
                <w:bCs/>
                <w:color w:val="000000"/>
              </w:rPr>
            </w:r>
          </w:p>
        </w:tc>
      </w:tr>
    </w:tbl>
    <w:p>
      <w:pPr>
        <w:pStyle w:val="Normal"/>
        <w:suppressAutoHyphens w:val="false"/>
        <w:rPr>
          <w:b/>
          <w:b/>
          <w:color w:val="000000"/>
          <w:sz w:val="28"/>
          <w:szCs w:val="28"/>
        </w:rPr>
      </w:pPr>
      <w:r>
        <w:rPr>
          <w:b/>
          <w:color w:val="000000"/>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rPr>
          <w:sz w:val="28"/>
          <w:szCs w:val="28"/>
        </w:rPr>
      </w:pPr>
      <w:r>
        <w:rPr>
          <w:sz w:val="28"/>
          <w:szCs w:val="28"/>
        </w:rPr>
      </w:r>
      <w:r>
        <w:br w:type="page"/>
      </w:r>
    </w:p>
    <w:p>
      <w:pPr>
        <w:pStyle w:val="Normal"/>
        <w:jc w:val="right"/>
        <w:rPr>
          <w:sz w:val="28"/>
          <w:szCs w:val="28"/>
        </w:rPr>
      </w:pPr>
      <w:r>
        <w:rPr>
          <w:sz w:val="28"/>
          <w:szCs w:val="28"/>
        </w:rPr>
      </w:r>
    </w:p>
    <w:p>
      <w:pPr>
        <w:pStyle w:val="Normal"/>
        <w:jc w:val="right"/>
        <w:rPr>
          <w:sz w:val="28"/>
          <w:szCs w:val="28"/>
        </w:rPr>
      </w:pPr>
      <w:r>
        <w:rPr>
          <w:b/>
          <w:bCs/>
          <w:sz w:val="28"/>
          <w:szCs w:val="28"/>
        </w:rPr>
        <w:t xml:space="preserve">Додаток №1 до </w:t>
      </w:r>
    </w:p>
    <w:p>
      <w:pPr>
        <w:pStyle w:val="Normal"/>
        <w:jc w:val="right"/>
        <w:rPr>
          <w:sz w:val="28"/>
          <w:szCs w:val="28"/>
        </w:rPr>
      </w:pPr>
      <w:r>
        <w:rPr>
          <w:b/>
          <w:bCs/>
          <w:sz w:val="28"/>
          <w:szCs w:val="28"/>
        </w:rPr>
        <w:t>Договору</w:t>
      </w:r>
      <w:r>
        <w:rPr>
          <w:b/>
          <w:bCs/>
          <w:lang w:eastAsia="ru-RU"/>
        </w:rPr>
        <w:t xml:space="preserve"> </w:t>
      </w:r>
      <w:r>
        <w:rPr>
          <w:b/>
          <w:bCs/>
          <w:sz w:val="28"/>
          <w:szCs w:val="28"/>
          <w:lang w:eastAsia="ru-RU"/>
        </w:rPr>
        <w:t>від ___________</w:t>
      </w:r>
      <w:r>
        <w:rPr>
          <w:b/>
          <w:bCs/>
          <w:color w:val="000000"/>
          <w:spacing w:val="-5"/>
          <w:sz w:val="28"/>
          <w:szCs w:val="28"/>
          <w:lang w:eastAsia="ru-RU"/>
        </w:rPr>
        <w:t xml:space="preserve">  №____</w:t>
      </w:r>
      <w:r>
        <w:rPr>
          <w:sz w:val="28"/>
          <w:szCs w:val="28"/>
        </w:rPr>
        <w:t xml:space="preserve"> </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sz w:val="28"/>
          <w:szCs w:val="28"/>
        </w:rPr>
      </w:pPr>
      <w:r>
        <w:rPr>
          <w:sz w:val="28"/>
          <w:szCs w:val="28"/>
        </w:rPr>
        <w:t>Перелік об’єктів</w:t>
      </w:r>
    </w:p>
    <w:p>
      <w:pPr>
        <w:pStyle w:val="Normal"/>
        <w:jc w:val="center"/>
        <w:rPr>
          <w:sz w:val="28"/>
          <w:szCs w:val="28"/>
        </w:rPr>
      </w:pPr>
      <w:r>
        <w:rPr>
          <w:sz w:val="28"/>
          <w:szCs w:val="28"/>
        </w:rPr>
      </w:r>
    </w:p>
    <w:tbl>
      <w:tblPr>
        <w:tblW w:w="10500" w:type="dxa"/>
        <w:jc w:val="left"/>
        <w:tblInd w:w="-432" w:type="dxa"/>
        <w:tblCellMar>
          <w:top w:w="0" w:type="dxa"/>
          <w:left w:w="108" w:type="dxa"/>
          <w:bottom w:w="0" w:type="dxa"/>
          <w:right w:w="108" w:type="dxa"/>
        </w:tblCellMar>
        <w:tblLook w:val="00a0"/>
      </w:tblPr>
      <w:tblGrid>
        <w:gridCol w:w="535"/>
        <w:gridCol w:w="2673"/>
        <w:gridCol w:w="2616"/>
        <w:gridCol w:w="2229"/>
        <w:gridCol w:w="1141"/>
        <w:gridCol w:w="1305"/>
      </w:tblGrid>
      <w:tr>
        <w:trPr>
          <w:trHeight w:val="2313" w:hRule="exact"/>
        </w:trPr>
        <w:tc>
          <w:tcPr>
            <w:tcW w:w="535"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Назва об</w:t>
            </w:r>
            <w:r>
              <w:rPr>
                <w:lang w:val="ru-RU" w:eastAsia="uk-UA"/>
              </w:rPr>
              <w:t>’</w:t>
            </w:r>
            <w:r>
              <w:rPr>
                <w:lang w:eastAsia="uk-UA"/>
              </w:rPr>
              <w:t>єкта охорони</w:t>
            </w:r>
          </w:p>
          <w:p>
            <w:pPr>
              <w:pStyle w:val="Normal"/>
              <w:shd w:val="clear" w:color="auto" w:fill="FFFFFF"/>
              <w:jc w:val="center"/>
              <w:rPr>
                <w:lang w:eastAsia="uk-UA"/>
              </w:rPr>
            </w:pPr>
            <w:r>
              <w:rPr>
                <w:lang w:eastAsia="uk-UA"/>
              </w:rPr>
              <w:t xml:space="preserve">структурних підрозділів </w:t>
            </w:r>
            <w:r>
              <w:rPr>
                <w:sz w:val="23"/>
                <w:szCs w:val="23"/>
              </w:rPr>
              <w:t>Головного управління Пенсійного фонду України в Тернопільській області</w:t>
            </w:r>
          </w:p>
        </w:tc>
        <w:tc>
          <w:tcPr>
            <w:tcW w:w="2616"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Адреса об</w:t>
            </w:r>
            <w:r>
              <w:rPr>
                <w:lang w:val="en-US" w:eastAsia="uk-UA"/>
              </w:rPr>
              <w:t>’</w:t>
            </w:r>
            <w:r>
              <w:rPr>
                <w:lang w:eastAsia="uk-UA"/>
              </w:rPr>
              <w:t>єкта</w:t>
            </w:r>
          </w:p>
        </w:tc>
        <w:tc>
          <w:tcPr>
            <w:tcW w:w="2229"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exact" w:line="274"/>
              <w:ind w:left="91" w:hanging="0"/>
              <w:jc w:val="center"/>
              <w:rPr>
                <w:lang w:eastAsia="ru-RU"/>
              </w:rPr>
            </w:pPr>
            <w:r>
              <w:rPr>
                <w:lang w:eastAsia="ru-RU"/>
              </w:rPr>
              <w:t>Графік надання послуг</w:t>
            </w:r>
          </w:p>
        </w:tc>
        <w:tc>
          <w:tcPr>
            <w:tcW w:w="1141"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exact" w:line="274"/>
              <w:jc w:val="center"/>
              <w:rPr>
                <w:lang w:eastAsia="ru-RU"/>
              </w:rPr>
            </w:pPr>
            <w:r>
              <w:rPr>
                <w:lang w:eastAsia="ru-RU"/>
              </w:rPr>
            </w:r>
          </w:p>
          <w:p>
            <w:pPr>
              <w:pStyle w:val="Normal"/>
              <w:shd w:val="clear" w:color="auto" w:fill="FFFFFF"/>
              <w:spacing w:lineRule="exact" w:line="274"/>
              <w:jc w:val="center"/>
              <w:rPr>
                <w:lang w:eastAsia="ru-RU"/>
              </w:rPr>
            </w:pPr>
            <w:r>
              <w:rPr>
                <w:lang w:eastAsia="ru-RU"/>
              </w:rPr>
            </w:r>
          </w:p>
          <w:p>
            <w:pPr>
              <w:pStyle w:val="Normal"/>
              <w:shd w:val="clear" w:color="auto" w:fill="FFFFFF"/>
              <w:spacing w:lineRule="exact" w:line="274"/>
              <w:jc w:val="center"/>
              <w:rPr>
                <w:lang w:eastAsia="ru-RU"/>
              </w:rPr>
            </w:pPr>
            <w:r>
              <w:rPr>
                <w:lang w:eastAsia="ru-RU"/>
              </w:rPr>
              <w:t>Обсяг надання послуг (години)</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exact" w:line="274"/>
              <w:jc w:val="center"/>
              <w:rPr>
                <w:highlight w:val="green"/>
                <w:lang w:eastAsia="ru-RU"/>
              </w:rPr>
            </w:pPr>
            <w:r>
              <w:rPr>
                <w:lang w:eastAsia="ru-RU"/>
              </w:rPr>
              <w:t>Ціна послуг з ПДВ (у разі якщо Учасник є платником ПДВ) грн.</w:t>
            </w:r>
          </w:p>
        </w:tc>
      </w:tr>
      <w:tr>
        <w:trPr>
          <w:trHeight w:val="1932"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673" w:type="dxa"/>
            <w:tcBorders/>
            <w:tcMar>
              <w:top w:w="55" w:type="dxa"/>
              <w:bottom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№1</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м.Бережани,    </w:t>
            </w:r>
          </w:p>
          <w:p>
            <w:pPr>
              <w:pStyle w:val="Normal"/>
              <w:ind w:right="141" w:hanging="0"/>
              <w:jc w:val="both"/>
              <w:rPr>
                <w:sz w:val="23"/>
                <w:szCs w:val="23"/>
              </w:rPr>
            </w:pPr>
            <w:r>
              <w:rPr>
                <w:sz w:val="23"/>
                <w:szCs w:val="23"/>
              </w:rPr>
              <w:t>вул. Шевченка, 13</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965"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2</w:t>
            </w:r>
          </w:p>
        </w:tc>
        <w:tc>
          <w:tcPr>
            <w:tcW w:w="2673" w:type="dxa"/>
            <w:tcBorders/>
            <w:tcMar>
              <w:top w:w="55" w:type="dxa"/>
              <w:bottom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№2</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Борщів, </w:t>
            </w:r>
          </w:p>
          <w:p>
            <w:pPr>
              <w:pStyle w:val="Normal"/>
              <w:ind w:right="141" w:hanging="0"/>
              <w:jc w:val="both"/>
              <w:rPr>
                <w:sz w:val="23"/>
                <w:szCs w:val="23"/>
              </w:rPr>
            </w:pPr>
            <w:r>
              <w:rPr>
                <w:sz w:val="23"/>
                <w:szCs w:val="23"/>
              </w:rPr>
              <w:t>вул С.Бандери, 19а</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823"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3</w:t>
            </w:r>
          </w:p>
        </w:tc>
        <w:tc>
          <w:tcPr>
            <w:tcW w:w="2673" w:type="dxa"/>
            <w:tcBorders/>
            <w:tcMar>
              <w:top w:w="55" w:type="dxa"/>
              <w:bottom w:w="55" w:type="dxa"/>
            </w:tcMar>
            <w:vAlign w:val="center"/>
          </w:tcPr>
          <w:p>
            <w:pPr>
              <w:pStyle w:val="Normal"/>
              <w:snapToGrid w:val="false"/>
              <w:spacing w:lineRule="auto" w:line="252"/>
              <w:ind w:right="-133" w:hanging="0"/>
              <w:rPr>
                <w:sz w:val="23"/>
                <w:szCs w:val="23"/>
              </w:rPr>
            </w:pPr>
            <w:r>
              <w:rPr>
                <w:sz w:val="23"/>
                <w:szCs w:val="23"/>
              </w:rPr>
              <w:t>Відділ обслуговування громадян №3</w:t>
            </w:r>
          </w:p>
          <w:p>
            <w:pPr>
              <w:pStyle w:val="Normal"/>
              <w:snapToGrid w:val="false"/>
              <w:spacing w:lineRule="auto" w:line="252"/>
              <w:ind w:right="-133" w:hanging="0"/>
              <w:rPr>
                <w:sz w:val="23"/>
                <w:szCs w:val="23"/>
              </w:rPr>
            </w:pPr>
            <w:r>
              <w:rPr>
                <w:sz w:val="23"/>
                <w:szCs w:val="23"/>
              </w:rPr>
              <w:t xml:space="preserve"> </w:t>
            </w:r>
            <w:r>
              <w:rPr>
                <w:sz w:val="23"/>
                <w:szCs w:val="23"/>
              </w:rPr>
              <w:t>(сервісний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 Бучач,</w:t>
            </w:r>
          </w:p>
          <w:p>
            <w:pPr>
              <w:pStyle w:val="Normal"/>
              <w:ind w:right="57" w:hanging="0"/>
              <w:jc w:val="both"/>
              <w:rPr>
                <w:sz w:val="23"/>
                <w:szCs w:val="23"/>
              </w:rPr>
            </w:pPr>
            <w:r>
              <w:rPr>
                <w:sz w:val="23"/>
                <w:szCs w:val="23"/>
              </w:rPr>
              <w:t>вул. Г.Шухевича,1</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865"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4</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№4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смт.Гусятин,                          вул. Незалежності,50</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993"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5</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№12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м.Заліщики, вул.Грушевського,12</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23"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6</w:t>
            </w:r>
          </w:p>
          <w:p>
            <w:pPr>
              <w:pStyle w:val="Normal"/>
              <w:rPr>
                <w:lang w:val="ru-RU" w:eastAsia="ru-RU"/>
              </w:rPr>
            </w:pPr>
            <w:r>
              <w:rPr>
                <w:lang w:val="ru-RU"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№8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Збараж, </w:t>
            </w:r>
          </w:p>
          <w:p>
            <w:pPr>
              <w:pStyle w:val="Normal"/>
              <w:ind w:right="141" w:hanging="0"/>
              <w:jc w:val="both"/>
              <w:rPr>
                <w:sz w:val="23"/>
                <w:szCs w:val="23"/>
              </w:rPr>
            </w:pPr>
            <w:r>
              <w:rPr>
                <w:sz w:val="23"/>
                <w:szCs w:val="23"/>
              </w:rPr>
              <w:t>вул. Грушевського,3</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126"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7</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№5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м.Зборів, </w:t>
            </w:r>
          </w:p>
          <w:p>
            <w:pPr>
              <w:pStyle w:val="Normal"/>
              <w:ind w:right="141" w:hanging="0"/>
              <w:jc w:val="both"/>
              <w:rPr>
                <w:sz w:val="23"/>
                <w:szCs w:val="23"/>
              </w:rPr>
            </w:pPr>
            <w:r>
              <w:rPr>
                <w:sz w:val="23"/>
                <w:szCs w:val="23"/>
              </w:rPr>
              <w:t>вул. Гоголя,40</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9"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8</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№5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с.м.т. Козова, </w:t>
            </w:r>
          </w:p>
          <w:p>
            <w:pPr>
              <w:pStyle w:val="Normal"/>
              <w:ind w:right="141" w:hanging="0"/>
              <w:jc w:val="both"/>
              <w:rPr>
                <w:sz w:val="23"/>
                <w:szCs w:val="23"/>
              </w:rPr>
            </w:pPr>
            <w:r>
              <w:rPr>
                <w:sz w:val="23"/>
                <w:szCs w:val="23"/>
              </w:rPr>
              <w:t>вул. Грушевського, 26</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bookmarkStart w:id="12" w:name="_GoBack2"/>
            <w:bookmarkStart w:id="13" w:name="_GoBack2"/>
            <w:bookmarkEnd w:id="13"/>
          </w:p>
        </w:tc>
      </w:tr>
      <w:tr>
        <w:trPr>
          <w:trHeight w:val="2259"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9</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№6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м.Кременець, </w:t>
            </w:r>
          </w:p>
          <w:p>
            <w:pPr>
              <w:pStyle w:val="Normal"/>
              <w:ind w:right="141" w:hanging="0"/>
              <w:jc w:val="both"/>
              <w:rPr>
                <w:sz w:val="23"/>
                <w:szCs w:val="23"/>
              </w:rPr>
            </w:pPr>
            <w:r>
              <w:rPr>
                <w:sz w:val="23"/>
                <w:szCs w:val="23"/>
              </w:rPr>
              <w:t>вул. Чорновола,2</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3"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10</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№7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м.Ланівці,  </w:t>
            </w:r>
          </w:p>
          <w:p>
            <w:pPr>
              <w:pStyle w:val="Normal"/>
              <w:ind w:right="141" w:hanging="0"/>
              <w:jc w:val="both"/>
              <w:rPr>
                <w:sz w:val="23"/>
                <w:szCs w:val="23"/>
              </w:rPr>
            </w:pPr>
            <w:r>
              <w:rPr>
                <w:sz w:val="23"/>
                <w:szCs w:val="23"/>
              </w:rPr>
              <w:t>вул.Грушевського,13</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40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11</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№3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м.Монастириська,     </w:t>
            </w:r>
          </w:p>
          <w:p>
            <w:pPr>
              <w:pStyle w:val="Normal"/>
              <w:ind w:right="141" w:hanging="0"/>
              <w:jc w:val="both"/>
              <w:rPr>
                <w:sz w:val="23"/>
                <w:szCs w:val="23"/>
              </w:rPr>
            </w:pPr>
            <w:r>
              <w:rPr>
                <w:sz w:val="23"/>
                <w:szCs w:val="23"/>
              </w:rPr>
              <w:t xml:space="preserve"> </w:t>
            </w:r>
            <w:r>
              <w:rPr>
                <w:sz w:val="23"/>
                <w:szCs w:val="23"/>
              </w:rPr>
              <w:t>вул. С.Бандери,1</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5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12</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№8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смт.Підволочиськ, </w:t>
            </w:r>
          </w:p>
          <w:p>
            <w:pPr>
              <w:pStyle w:val="Normal"/>
              <w:ind w:right="141" w:hanging="0"/>
              <w:jc w:val="both"/>
              <w:rPr>
                <w:sz w:val="23"/>
                <w:szCs w:val="23"/>
              </w:rPr>
            </w:pPr>
            <w:r>
              <w:rPr>
                <w:sz w:val="23"/>
                <w:szCs w:val="23"/>
              </w:rPr>
              <w:t>вул. Д. Галицького,67.</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13</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№1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Підгайці, </w:t>
            </w:r>
          </w:p>
          <w:p>
            <w:pPr>
              <w:pStyle w:val="Normal"/>
              <w:ind w:right="141" w:hanging="0"/>
              <w:jc w:val="both"/>
              <w:rPr>
                <w:sz w:val="23"/>
                <w:szCs w:val="23"/>
              </w:rPr>
            </w:pPr>
            <w:r>
              <w:rPr>
                <w:sz w:val="23"/>
                <w:szCs w:val="23"/>
              </w:rPr>
              <w:t>вул. Шевченка,22</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412"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14</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№9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Теребовля, </w:t>
            </w:r>
          </w:p>
          <w:p>
            <w:pPr>
              <w:pStyle w:val="Normal"/>
              <w:ind w:right="141" w:hanging="0"/>
              <w:jc w:val="both"/>
              <w:rPr>
                <w:sz w:val="23"/>
                <w:szCs w:val="23"/>
              </w:rPr>
            </w:pPr>
            <w:r>
              <w:rPr>
                <w:sz w:val="23"/>
                <w:szCs w:val="23"/>
              </w:rPr>
              <w:t>вул. 22 Січня,17</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60"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15</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№10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Тернопіль, </w:t>
            </w:r>
          </w:p>
          <w:p>
            <w:pPr>
              <w:pStyle w:val="Normal"/>
              <w:ind w:right="141" w:hanging="0"/>
              <w:jc w:val="both"/>
              <w:rPr>
                <w:sz w:val="23"/>
                <w:szCs w:val="23"/>
              </w:rPr>
            </w:pPr>
            <w:r>
              <w:rPr>
                <w:sz w:val="23"/>
                <w:szCs w:val="23"/>
              </w:rPr>
              <w:t>вул. Кривоноса, 10</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40"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16</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№12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Чортків, </w:t>
            </w:r>
          </w:p>
          <w:p>
            <w:pPr>
              <w:pStyle w:val="Normal"/>
              <w:ind w:right="141" w:hanging="0"/>
              <w:jc w:val="both"/>
              <w:rPr>
                <w:sz w:val="23"/>
                <w:szCs w:val="23"/>
              </w:rPr>
            </w:pPr>
            <w:r>
              <w:rPr>
                <w:sz w:val="23"/>
                <w:szCs w:val="23"/>
              </w:rPr>
              <w:t>вул. Шевченка,34</w:t>
            </w:r>
          </w:p>
          <w:p>
            <w:pPr>
              <w:pStyle w:val="Normal"/>
              <w:ind w:right="141" w:hanging="0"/>
              <w:jc w:val="both"/>
              <w:rPr>
                <w:sz w:val="23"/>
                <w:szCs w:val="23"/>
              </w:rPr>
            </w:pPr>
            <w:r>
              <w:rPr>
                <w:sz w:val="23"/>
                <w:szCs w:val="23"/>
              </w:rPr>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54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17</w:t>
            </w:r>
          </w:p>
        </w:tc>
        <w:tc>
          <w:tcPr>
            <w:tcW w:w="2673" w:type="dxa"/>
            <w:tcBorders/>
            <w:tcMar>
              <w:top w:w="55" w:type="dxa"/>
              <w:bottom w:w="55" w:type="dxa"/>
            </w:tcMar>
          </w:tcPr>
          <w:p>
            <w:pPr>
              <w:pStyle w:val="Normal"/>
              <w:ind w:right="141" w:hanging="0"/>
              <w:rPr>
                <w:sz w:val="23"/>
                <w:szCs w:val="23"/>
              </w:rPr>
            </w:pPr>
            <w:r>
              <w:rPr>
                <w:sz w:val="23"/>
                <w:szCs w:val="23"/>
              </w:rPr>
              <w:t>Відділ обслуговування громадян №7 (сервісний центр)</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r>
          </w:p>
          <w:p>
            <w:pPr>
              <w:pStyle w:val="Normal"/>
              <w:ind w:right="141" w:hanging="0"/>
              <w:jc w:val="both"/>
              <w:rPr>
                <w:sz w:val="23"/>
                <w:szCs w:val="23"/>
              </w:rPr>
            </w:pPr>
            <w:r>
              <w:rPr>
                <w:sz w:val="23"/>
                <w:szCs w:val="23"/>
              </w:rPr>
              <w:t xml:space="preserve">м.Шумськ, </w:t>
            </w:r>
          </w:p>
          <w:p>
            <w:pPr>
              <w:pStyle w:val="Normal"/>
              <w:ind w:right="141" w:hanging="0"/>
              <w:jc w:val="both"/>
              <w:rPr>
                <w:sz w:val="23"/>
                <w:szCs w:val="23"/>
              </w:rPr>
            </w:pPr>
            <w:r>
              <w:rPr>
                <w:sz w:val="23"/>
                <w:szCs w:val="23"/>
              </w:rPr>
              <w:t>вул. І.Франка,34а</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передсвяткові </w:t>
            </w:r>
          </w:p>
          <w:p>
            <w:pPr>
              <w:pStyle w:val="Normal"/>
              <w:suppressAutoHyphens w:val="false"/>
              <w:snapToGrid w:val="false"/>
              <w:spacing w:lineRule="auto" w:line="252"/>
              <w:ind w:left="79" w:hanging="0"/>
              <w:jc w:val="center"/>
              <w:rPr>
                <w:color w:val="000000"/>
                <w:lang w:eastAsia="ru-RU"/>
              </w:rPr>
            </w:pPr>
            <w:r>
              <w:rPr>
                <w:color w:val="000000"/>
                <w:lang w:eastAsia="ru-RU"/>
              </w:rPr>
              <w:t>16.00-08.00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1975"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18</w:t>
            </w:r>
          </w:p>
        </w:tc>
        <w:tc>
          <w:tcPr>
            <w:tcW w:w="2673" w:type="dxa"/>
            <w:tcBorders/>
            <w:tcMar>
              <w:top w:w="55" w:type="dxa"/>
              <w:bottom w:w="55" w:type="dxa"/>
            </w:tcMar>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Тернопіль, </w:t>
            </w:r>
          </w:p>
          <w:p>
            <w:pPr>
              <w:pStyle w:val="Normal"/>
              <w:ind w:right="141" w:hanging="0"/>
              <w:jc w:val="both"/>
              <w:rPr>
                <w:sz w:val="23"/>
                <w:szCs w:val="23"/>
              </w:rPr>
            </w:pPr>
            <w:r>
              <w:rPr>
                <w:sz w:val="23"/>
                <w:szCs w:val="23"/>
              </w:rPr>
              <w:t>Майдан Волі, 3</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18.00-07.30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17.00-07.30</w:t>
            </w:r>
          </w:p>
          <w:p>
            <w:pPr>
              <w:pStyle w:val="Normal"/>
              <w:jc w:val="center"/>
              <w:rPr>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r>
        <w:trPr>
          <w:trHeight w:val="226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val="en-US" w:eastAsia="ru-RU"/>
              </w:rPr>
              <w:t>19</w:t>
            </w:r>
          </w:p>
        </w:tc>
        <w:tc>
          <w:tcPr>
            <w:tcW w:w="2673" w:type="dxa"/>
            <w:tcBorders>
              <w:bottom w:val="single" w:sz="4" w:space="0" w:color="000000"/>
            </w:tcBorders>
            <w:tcMar>
              <w:top w:w="55" w:type="dxa"/>
              <w:bottom w:w="55" w:type="dxa"/>
            </w:tcMar>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2616"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Тернопіль, </w:t>
            </w:r>
          </w:p>
          <w:p>
            <w:pPr>
              <w:pStyle w:val="Normal"/>
              <w:ind w:right="141" w:hanging="0"/>
              <w:jc w:val="both"/>
              <w:rPr>
                <w:sz w:val="23"/>
                <w:szCs w:val="23"/>
              </w:rPr>
            </w:pPr>
            <w:r>
              <w:rPr>
                <w:sz w:val="23"/>
                <w:szCs w:val="23"/>
              </w:rPr>
              <w:t>вул. Лисенка, 1</w:t>
            </w:r>
          </w:p>
        </w:tc>
        <w:tc>
          <w:tcPr>
            <w:tcW w:w="2229"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18.00-07.30</w:t>
            </w:r>
          </w:p>
          <w:p>
            <w:pPr>
              <w:pStyle w:val="Normal"/>
              <w:suppressAutoHyphens w:val="false"/>
              <w:snapToGrid w:val="false"/>
              <w:spacing w:lineRule="auto" w:line="252"/>
              <w:ind w:left="79" w:hanging="0"/>
              <w:jc w:val="center"/>
              <w:rPr>
                <w:color w:val="000000"/>
                <w:lang w:eastAsia="ru-RU"/>
              </w:rPr>
            </w:pPr>
            <w:r>
              <w:rPr>
                <w:color w:val="000000"/>
                <w:lang w:eastAsia="ru-RU"/>
              </w:rPr>
              <w:t>Передвихідні, передсвяткові 17.00-07.30</w:t>
            </w:r>
          </w:p>
          <w:p>
            <w:pPr>
              <w:pStyle w:val="Normal"/>
              <w:suppressAutoHyphens w:val="false"/>
              <w:snapToGrid w:val="false"/>
              <w:spacing w:lineRule="auto" w:line="252"/>
              <w:ind w:left="79" w:hanging="0"/>
              <w:jc w:val="center"/>
              <w:rPr>
                <w:color w:val="000000"/>
                <w:lang w:eastAsia="ru-RU"/>
              </w:rPr>
            </w:pPr>
            <w:r>
              <w:rPr>
                <w:color w:val="000000"/>
                <w:lang w:eastAsia="ru-RU"/>
              </w:rPr>
              <w:t>Вихідні, святкові цілодобово</w:t>
            </w:r>
          </w:p>
        </w:tc>
        <w:tc>
          <w:tcPr>
            <w:tcW w:w="1141"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rPr>
                <w:b/>
                <w:b/>
                <w:i/>
                <w:i/>
                <w:highlight w:val="green"/>
                <w:lang w:eastAsia="ru-RU"/>
              </w:rPr>
            </w:pPr>
            <w:r>
              <w:rPr>
                <w:b/>
                <w:i/>
                <w:highlight w:val="green"/>
                <w:lang w:eastAsia="ru-RU"/>
              </w:rPr>
            </w:r>
          </w:p>
        </w:tc>
      </w:tr>
    </w:tbl>
    <w:p>
      <w:pPr>
        <w:pStyle w:val="Normal"/>
        <w:ind w:firstLine="436"/>
        <w:jc w:val="both"/>
        <w:rPr>
          <w:bCs/>
        </w:rPr>
      </w:pPr>
      <w:r>
        <w:rPr>
          <w:bCs/>
        </w:rPr>
      </w:r>
    </w:p>
    <w:p>
      <w:pPr>
        <w:pStyle w:val="Normal"/>
        <w:jc w:val="right"/>
        <w:rPr>
          <w:sz w:val="28"/>
          <w:szCs w:val="28"/>
        </w:rPr>
      </w:pPr>
      <w:r>
        <w:rPr>
          <w:sz w:val="28"/>
          <w:szCs w:val="28"/>
        </w:rPr>
      </w:r>
    </w:p>
    <w:tbl>
      <w:tblPr>
        <w:tblW w:w="9855" w:type="dxa"/>
        <w:jc w:val="left"/>
        <w:tblInd w:w="0" w:type="dxa"/>
        <w:tblCellMar>
          <w:top w:w="0" w:type="dxa"/>
          <w:left w:w="108" w:type="dxa"/>
          <w:bottom w:w="0" w:type="dxa"/>
          <w:right w:w="108" w:type="dxa"/>
        </w:tblCellMar>
        <w:tblLook w:val="01e0"/>
      </w:tblPr>
      <w:tblGrid>
        <w:gridCol w:w="4354"/>
        <w:gridCol w:w="5500"/>
      </w:tblGrid>
      <w:tr>
        <w:trPr>
          <w:trHeight w:val="4498" w:hRule="atLeast"/>
        </w:trPr>
        <w:tc>
          <w:tcPr>
            <w:tcW w:w="4354" w:type="dxa"/>
            <w:tcBorders/>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val="ru-RU" w:eastAsia="ru-RU"/>
              </w:rPr>
              <w:t xml:space="preserve">ЗАМОВНИК </w:t>
            </w:r>
          </w:p>
          <w:p>
            <w:pPr>
              <w:pStyle w:val="Normal"/>
              <w:suppressAutoHyphens w:val="false"/>
              <w:jc w:val="center"/>
              <w:rPr>
                <w:lang w:eastAsia="ru-RU"/>
              </w:rPr>
            </w:pPr>
            <w:r>
              <w:rPr>
                <w:color w:val="000000"/>
                <w:spacing w:val="-5"/>
                <w:lang w:eastAsia="ru-RU"/>
              </w:rPr>
              <w:t>Головне управління Пенсійного фонду України в Тернопільській області</w:t>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t xml:space="preserve">Начальник  управління                           </w:t>
            </w:r>
          </w:p>
          <w:p>
            <w:pPr>
              <w:pStyle w:val="Normal"/>
              <w:suppressAutoHyphens w:val="false"/>
              <w:rPr>
                <w:lang w:eastAsia="ru-RU"/>
              </w:rPr>
            </w:pPr>
            <w:r>
              <w:rPr>
                <w:lang w:eastAsia="ru-RU"/>
              </w:rPr>
            </w:r>
          </w:p>
          <w:p>
            <w:pPr>
              <w:pStyle w:val="Normal"/>
              <w:suppressAutoHyphens w:val="false"/>
              <w:rPr>
                <w:lang w:eastAsia="ru-RU"/>
              </w:rPr>
            </w:pPr>
            <w:r>
              <w:rPr>
                <w:lang w:eastAsia="ru-RU"/>
              </w:rPr>
              <w:t>____________________І.І. Москалик</w:t>
            </w:r>
          </w:p>
        </w:tc>
        <w:tc>
          <w:tcPr>
            <w:tcW w:w="5500" w:type="dxa"/>
            <w:tcBorders/>
          </w:tcPr>
          <w:p>
            <w:pPr>
              <w:pStyle w:val="Normal"/>
              <w:shd w:val="clear" w:color="auto" w:fill="FFFFFF"/>
              <w:suppressAutoHyphens w:val="false"/>
              <w:spacing w:lineRule="exact" w:line="278"/>
              <w:rPr>
                <w:lang w:eastAsia="ru-RU"/>
              </w:rPr>
            </w:pPr>
            <w:r>
              <w:rPr>
                <w:lang w:eastAsia="ru-RU"/>
              </w:rPr>
            </w:r>
          </w:p>
          <w:p>
            <w:pPr>
              <w:pStyle w:val="Normal"/>
              <w:suppressAutoHyphens w:val="false"/>
              <w:jc w:val="center"/>
              <w:rPr>
                <w:lang w:val="ru-RU" w:eastAsia="ru-RU"/>
              </w:rPr>
            </w:pPr>
            <w:r>
              <w:rPr>
                <w:lang w:val="ru-RU" w:eastAsia="ru-RU"/>
              </w:rPr>
            </w:r>
          </w:p>
          <w:p>
            <w:pPr>
              <w:pStyle w:val="Normal"/>
              <w:suppressAutoHyphens w:val="false"/>
              <w:jc w:val="center"/>
              <w:rPr>
                <w:lang w:val="ru-RU" w:eastAsia="ru-RU"/>
              </w:rPr>
            </w:pPr>
            <w:r>
              <w:rPr>
                <w:lang w:val="ru-RU" w:eastAsia="ru-RU"/>
              </w:rPr>
            </w:r>
          </w:p>
          <w:p>
            <w:pPr>
              <w:pStyle w:val="Normal"/>
              <w:suppressAutoHyphens w:val="false"/>
              <w:jc w:val="center"/>
              <w:rPr>
                <w:lang w:val="ru-RU" w:eastAsia="ru-RU"/>
              </w:rPr>
            </w:pPr>
            <w:r>
              <w:rPr>
                <w:lang w:val="ru-RU" w:eastAsia="ru-RU"/>
              </w:rPr>
              <w:t>ВИКОНАВЕЦЬ</w:t>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jc w:val="center"/>
              <w:rPr>
                <w:lang w:val="ru-RU" w:eastAsia="ru-RU"/>
              </w:rPr>
            </w:pPr>
            <w:r>
              <w:rPr>
                <w:lang w:val="ru-RU"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t xml:space="preserve"> </w:t>
            </w:r>
          </w:p>
          <w:p>
            <w:pPr>
              <w:pStyle w:val="Normal"/>
              <w:suppressAutoHyphens w:val="false"/>
              <w:jc w:val="center"/>
              <w:rPr>
                <w:lang w:eastAsia="ru-RU"/>
              </w:rPr>
            </w:pPr>
            <w:r>
              <w:rPr>
                <w:lang w:eastAsia="ru-RU"/>
              </w:rPr>
            </w:r>
          </w:p>
          <w:p>
            <w:pPr>
              <w:pStyle w:val="Normal"/>
              <w:suppressAutoHyphens w:val="false"/>
              <w:rPr>
                <w:lang w:eastAsia="ru-RU"/>
              </w:rPr>
            </w:pPr>
            <w:r>
              <w:rPr>
                <w:lang w:eastAsia="ru-RU"/>
              </w:rPr>
              <w:t>___________________________</w:t>
            </w:r>
          </w:p>
          <w:p>
            <w:pPr>
              <w:pStyle w:val="Normal"/>
              <w:suppressAutoHyphens w:val="false"/>
              <w:rPr>
                <w:lang w:eastAsia="ru-RU"/>
              </w:rPr>
            </w:pPr>
            <w:r>
              <w:rPr>
                <w:lang w:eastAsia="ru-RU"/>
              </w:rPr>
            </w:r>
          </w:p>
        </w:tc>
      </w:tr>
    </w:tbl>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ab/>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bCs/>
          <w:color w:val="000000"/>
          <w:spacing w:val="-5"/>
          <w:lang w:eastAsia="ru-RU"/>
        </w:rPr>
      </w:pPr>
      <w:r>
        <w:rPr>
          <w:b/>
          <w:bCs/>
          <w:lang w:eastAsia="ru-RU"/>
        </w:rPr>
        <w:t xml:space="preserve">Додаток </w:t>
      </w:r>
      <w:r>
        <w:rPr>
          <w:b/>
          <w:bCs/>
          <w:lang w:val="ru-RU" w:eastAsia="ru-RU"/>
        </w:rPr>
        <w:t xml:space="preserve"> № 2</w:t>
      </w:r>
      <w:r>
        <w:rPr>
          <w:b/>
          <w:bCs/>
          <w:lang w:eastAsia="ru-RU"/>
        </w:rPr>
        <w:t xml:space="preserve"> </w:t>
      </w:r>
    </w:p>
    <w:p>
      <w:pPr>
        <w:pStyle w:val="Normal"/>
        <w:jc w:val="right"/>
        <w:rPr>
          <w:bCs/>
          <w:color w:val="000000"/>
          <w:spacing w:val="-5"/>
          <w:lang w:eastAsia="ru-RU"/>
        </w:rPr>
      </w:pPr>
      <w:r>
        <w:rPr>
          <w:b/>
          <w:bCs/>
          <w:lang w:eastAsia="ru-RU"/>
        </w:rPr>
        <w:t>до Договору  від ___________</w:t>
      </w:r>
      <w:r>
        <w:rPr>
          <w:b/>
          <w:bCs/>
          <w:color w:val="000000"/>
          <w:spacing w:val="-5"/>
          <w:lang w:eastAsia="ru-RU"/>
        </w:rPr>
        <w:t xml:space="preserve">  №____</w:t>
      </w:r>
    </w:p>
    <w:p>
      <w:pPr>
        <w:pStyle w:val="Normal"/>
        <w:suppressAutoHyphens w:val="false"/>
        <w:jc w:val="right"/>
        <w:rPr>
          <w:lang w:eastAsia="ru-RU"/>
        </w:rPr>
      </w:pPr>
      <w:r>
        <w:rPr>
          <w:lang w:eastAsia="ru-RU"/>
        </w:rPr>
        <w:t>.</w:t>
      </w:r>
    </w:p>
    <w:p>
      <w:pPr>
        <w:pStyle w:val="Normal"/>
        <w:suppressAutoHyphens w:val="false"/>
        <w:rPr>
          <w:lang w:eastAsia="ru-RU"/>
        </w:rPr>
      </w:pPr>
      <w:r>
        <w:rPr>
          <w:lang w:eastAsia="ru-RU"/>
        </w:rPr>
      </w:r>
    </w:p>
    <w:p>
      <w:pPr>
        <w:pStyle w:val="Normal"/>
        <w:suppressAutoHyphens w:val="false"/>
        <w:jc w:val="both"/>
        <w:rPr>
          <w:lang w:eastAsia="ru-RU"/>
        </w:rPr>
      </w:pPr>
      <w:r>
        <w:rPr>
          <w:lang w:eastAsia="ru-RU"/>
        </w:rPr>
        <w:t xml:space="preserve">                                                                    </w:t>
      </w:r>
      <w:r>
        <w:rPr>
          <w:lang w:eastAsia="ru-RU"/>
        </w:rPr>
        <w:t>АКТ №1</w:t>
      </w:r>
    </w:p>
    <w:p>
      <w:pPr>
        <w:pStyle w:val="Normal"/>
        <w:suppressAutoHyphens w:val="false"/>
        <w:jc w:val="center"/>
        <w:rPr>
          <w:lang w:eastAsia="ru-RU"/>
        </w:rPr>
      </w:pPr>
      <w:r>
        <w:rPr>
          <w:lang w:eastAsia="ru-RU"/>
        </w:rPr>
        <w:t>здачі-прийняття об`єкту під охорону</w:t>
      </w:r>
    </w:p>
    <w:p>
      <w:pPr>
        <w:pStyle w:val="Normal"/>
        <w:suppressAutoHyphens w:val="false"/>
        <w:jc w:val="center"/>
        <w:rPr>
          <w:b/>
          <w:b/>
          <w:lang w:eastAsia="ru-RU"/>
        </w:rPr>
      </w:pPr>
      <w:r>
        <w:rPr>
          <w:b/>
          <w:lang w:eastAsia="ru-RU"/>
        </w:rPr>
      </w:r>
    </w:p>
    <w:p>
      <w:pPr>
        <w:pStyle w:val="Normal"/>
        <w:suppressAutoHyphens w:val="false"/>
        <w:ind w:firstLine="708"/>
        <w:jc w:val="both"/>
        <w:rPr>
          <w:lang w:eastAsia="ru-RU"/>
        </w:rPr>
      </w:pPr>
      <w:r>
        <w:rPr>
          <w:lang w:eastAsia="ru-RU"/>
        </w:rPr>
        <w:t>Замовник</w:t>
      </w:r>
      <w:r>
        <w:rPr>
          <w:color w:val="000000"/>
          <w:spacing w:val="-5"/>
          <w:lang w:eastAsia="ru-RU"/>
        </w:rPr>
        <w:t xml:space="preserve"> ______________</w:t>
      </w:r>
      <w:r>
        <w:rPr>
          <w:lang w:eastAsia="ru-RU"/>
        </w:rPr>
        <w:t xml:space="preserve">  , та ________________ в подальшому Виконавець, в особі директора</w:t>
      </w:r>
      <w:r>
        <w:rPr>
          <w:lang w:val="ru-RU" w:eastAsia="ru-RU"/>
        </w:rPr>
        <w:t>/</w:t>
      </w:r>
      <w:r>
        <w:rPr>
          <w:lang w:eastAsia="ru-RU"/>
        </w:rPr>
        <w:t>керівника _________, склали цей акт про те, що Замовник  здає, а Виконавець бере під охорону приміщення____________________________________________________, що розташовані за адресами:</w:t>
      </w:r>
    </w:p>
    <w:p>
      <w:pPr>
        <w:pStyle w:val="Normal"/>
        <w:suppressAutoHyphens w:val="false"/>
        <w:ind w:firstLine="708"/>
        <w:jc w:val="both"/>
        <w:rPr>
          <w:lang w:eastAsia="ru-RU"/>
        </w:rPr>
      </w:pPr>
      <w:r>
        <w:rPr>
          <w:lang w:eastAsia="ru-RU"/>
        </w:rPr>
      </w:r>
    </w:p>
    <w:p>
      <w:pPr>
        <w:pStyle w:val="Normal"/>
        <w:suppressAutoHyphens w:val="false"/>
        <w:ind w:firstLine="708"/>
        <w:jc w:val="both"/>
        <w:rPr>
          <w:lang w:eastAsia="ru-RU"/>
        </w:rPr>
      </w:pPr>
      <w:r>
        <w:rPr>
          <w:lang w:eastAsia="ru-RU"/>
        </w:rPr>
      </w:r>
    </w:p>
    <w:p>
      <w:pPr>
        <w:pStyle w:val="Normal"/>
        <w:ind w:firstLine="436"/>
        <w:jc w:val="both"/>
        <w:rPr>
          <w:bCs/>
        </w:rPr>
      </w:pPr>
      <w:r>
        <w:rPr>
          <w:bCs/>
        </w:rPr>
      </w:r>
    </w:p>
    <w:p>
      <w:pPr>
        <w:pStyle w:val="Normal"/>
        <w:suppressAutoHyphens w:val="false"/>
        <w:ind w:firstLine="708"/>
        <w:jc w:val="both"/>
        <w:rPr>
          <w:lang w:eastAsia="ru-RU"/>
        </w:rPr>
      </w:pPr>
      <w:r>
        <w:rPr>
          <w:lang w:eastAsia="ru-RU"/>
        </w:rPr>
      </w:r>
    </w:p>
    <w:p>
      <w:pPr>
        <w:pStyle w:val="Normal"/>
        <w:suppressAutoHyphens w:val="false"/>
        <w:jc w:val="both"/>
        <w:rPr>
          <w:lang w:eastAsia="ru-RU"/>
        </w:rPr>
      </w:pPr>
      <w:r>
        <w:rPr>
          <w:lang w:eastAsia="ru-RU"/>
        </w:rPr>
      </w:r>
    </w:p>
    <w:p>
      <w:pPr>
        <w:pStyle w:val="Normal"/>
        <w:suppressAutoHyphens w:val="false"/>
        <w:jc w:val="both"/>
        <w:rPr>
          <w:lang w:eastAsia="ru-RU"/>
        </w:rPr>
      </w:pPr>
      <w:r>
        <w:rPr>
          <w:lang w:eastAsia="ru-RU"/>
        </w:rPr>
      </w:r>
    </w:p>
    <w:tbl>
      <w:tblPr>
        <w:tblW w:w="9855" w:type="dxa"/>
        <w:jc w:val="left"/>
        <w:tblInd w:w="0" w:type="dxa"/>
        <w:tblCellMar>
          <w:top w:w="0" w:type="dxa"/>
          <w:left w:w="108" w:type="dxa"/>
          <w:bottom w:w="0" w:type="dxa"/>
          <w:right w:w="108" w:type="dxa"/>
        </w:tblCellMar>
        <w:tblLook w:val="01e0"/>
      </w:tblPr>
      <w:tblGrid>
        <w:gridCol w:w="4354"/>
        <w:gridCol w:w="5500"/>
      </w:tblGrid>
      <w:tr>
        <w:trPr>
          <w:trHeight w:val="4498" w:hRule="atLeast"/>
        </w:trPr>
        <w:tc>
          <w:tcPr>
            <w:tcW w:w="4354" w:type="dxa"/>
            <w:tcBorders/>
          </w:tcPr>
          <w:p>
            <w:pPr>
              <w:pStyle w:val="Normal"/>
              <w:suppressAutoHyphens w:val="false"/>
              <w:jc w:val="center"/>
              <w:rPr>
                <w:lang w:val="ru-RU" w:eastAsia="ru-RU"/>
              </w:rPr>
            </w:pPr>
            <w:r>
              <w:rPr>
                <w:lang w:val="ru-RU" w:eastAsia="ru-RU"/>
              </w:rPr>
            </w:r>
          </w:p>
          <w:p>
            <w:pPr>
              <w:pStyle w:val="Normal"/>
              <w:suppressAutoHyphens w:val="false"/>
              <w:jc w:val="center"/>
              <w:rPr>
                <w:lang w:val="ru-RU" w:eastAsia="ru-RU"/>
              </w:rPr>
            </w:pPr>
            <w:r>
              <w:rPr>
                <w:lang w:val="ru-RU" w:eastAsia="ru-RU"/>
              </w:rPr>
            </w:r>
          </w:p>
          <w:p>
            <w:pPr>
              <w:pStyle w:val="Normal"/>
              <w:suppressAutoHyphens w:val="false"/>
              <w:jc w:val="center"/>
              <w:rPr>
                <w:lang w:eastAsia="ru-RU"/>
              </w:rPr>
            </w:pPr>
            <w:r>
              <w:rPr>
                <w:lang w:val="ru-RU" w:eastAsia="ru-RU"/>
              </w:rPr>
              <w:t xml:space="preserve">ЗАМОВНИК </w:t>
            </w:r>
          </w:p>
          <w:p>
            <w:pPr>
              <w:pStyle w:val="Normal"/>
              <w:suppressAutoHyphens w:val="false"/>
              <w:jc w:val="center"/>
              <w:rPr>
                <w:lang w:eastAsia="ru-RU"/>
              </w:rPr>
            </w:pPr>
            <w:r>
              <w:rPr>
                <w:color w:val="000000"/>
                <w:spacing w:val="-5"/>
                <w:lang w:eastAsia="ru-RU"/>
              </w:rPr>
              <w:t>Головне управління Пенсійного фонду України в Тернопільській області</w:t>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t xml:space="preserve">Начальник  управління                           </w:t>
            </w:r>
          </w:p>
          <w:p>
            <w:pPr>
              <w:pStyle w:val="Normal"/>
              <w:suppressAutoHyphens w:val="false"/>
              <w:rPr>
                <w:lang w:eastAsia="ru-RU"/>
              </w:rPr>
            </w:pPr>
            <w:r>
              <w:rPr>
                <w:lang w:eastAsia="ru-RU"/>
              </w:rPr>
            </w:r>
          </w:p>
          <w:p>
            <w:pPr>
              <w:pStyle w:val="Normal"/>
              <w:suppressAutoHyphens w:val="false"/>
              <w:rPr>
                <w:lang w:eastAsia="ru-RU"/>
              </w:rPr>
            </w:pPr>
            <w:r>
              <w:rPr>
                <w:lang w:eastAsia="ru-RU"/>
              </w:rPr>
              <w:t>______________________І.І. Москалик</w:t>
            </w:r>
          </w:p>
        </w:tc>
        <w:tc>
          <w:tcPr>
            <w:tcW w:w="5500" w:type="dxa"/>
            <w:tcBorders/>
          </w:tcPr>
          <w:p>
            <w:pPr>
              <w:pStyle w:val="Normal"/>
              <w:shd w:val="clear" w:color="auto" w:fill="FFFFFF"/>
              <w:suppressAutoHyphens w:val="false"/>
              <w:spacing w:lineRule="exact" w:line="278"/>
              <w:rPr>
                <w:lang w:eastAsia="ru-RU"/>
              </w:rPr>
            </w:pPr>
            <w:r>
              <w:rPr>
                <w:lang w:eastAsia="ru-RU"/>
              </w:rPr>
            </w:r>
          </w:p>
          <w:p>
            <w:pPr>
              <w:pStyle w:val="Normal"/>
              <w:suppressAutoHyphens w:val="false"/>
              <w:jc w:val="center"/>
              <w:rPr>
                <w:lang w:val="ru-RU" w:eastAsia="ru-RU"/>
              </w:rPr>
            </w:pPr>
            <w:r>
              <w:rPr>
                <w:lang w:val="ru-RU" w:eastAsia="ru-RU"/>
              </w:rPr>
            </w:r>
          </w:p>
          <w:p>
            <w:pPr>
              <w:pStyle w:val="Normal"/>
              <w:suppressAutoHyphens w:val="false"/>
              <w:jc w:val="center"/>
              <w:rPr>
                <w:lang w:val="ru-RU" w:eastAsia="ru-RU"/>
              </w:rPr>
            </w:pPr>
            <w:r>
              <w:rPr>
                <w:lang w:val="ru-RU" w:eastAsia="ru-RU"/>
              </w:rPr>
              <w:t>ВИКОНАВЕЦЬ</w:t>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jc w:val="center"/>
              <w:rPr>
                <w:lang w:val="ru-RU" w:eastAsia="ru-RU"/>
              </w:rPr>
            </w:pPr>
            <w:r>
              <w:rPr>
                <w:lang w:val="ru-RU"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t>_____________________</w:t>
            </w:r>
          </w:p>
        </w:tc>
      </w:tr>
    </w:tbl>
    <w:p>
      <w:pPr>
        <w:pStyle w:val="Normal"/>
        <w:ind w:left="4000" w:right="-69" w:hanging="0"/>
        <w:rPr>
          <w:lang w:val="ru-RU"/>
        </w:rPr>
      </w:pPr>
      <w:r>
        <w:rPr>
          <w:lang w:val="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ind w:firstLine="436"/>
        <w:jc w:val="both"/>
        <w:rPr>
          <w:bCs/>
        </w:rPr>
      </w:pPr>
      <w:r>
        <w:rPr>
          <w:bCs/>
        </w:rPr>
      </w:r>
    </w:p>
    <w:p>
      <w:pPr>
        <w:pStyle w:val="Normal"/>
        <w:ind w:left="5670" w:hanging="0"/>
        <w:jc w:val="both"/>
        <w:rPr>
          <w:b/>
          <w:b/>
        </w:rPr>
      </w:pPr>
      <w:r>
        <w:rPr>
          <w:b/>
        </w:rPr>
      </w:r>
    </w:p>
    <w:p>
      <w:pPr>
        <w:pStyle w:val="Normal"/>
        <w:ind w:left="5670" w:hanging="0"/>
        <w:jc w:val="both"/>
        <w:rPr>
          <w:b/>
          <w:b/>
        </w:rPr>
      </w:pPr>
      <w:r>
        <w:rPr>
          <w:b/>
        </w:rPr>
      </w:r>
    </w:p>
    <w:p>
      <w:pPr>
        <w:pStyle w:val="Normal"/>
        <w:ind w:left="5670" w:hanging="0"/>
        <w:jc w:val="both"/>
        <w:rPr>
          <w:b/>
          <w:b/>
        </w:rPr>
      </w:pPr>
      <w:r>
        <w:rPr>
          <w:b/>
        </w:rPr>
      </w:r>
    </w:p>
    <w:p>
      <w:pPr>
        <w:pStyle w:val="Normal"/>
        <w:ind w:left="5670" w:hanging="0"/>
        <w:jc w:val="both"/>
        <w:rPr>
          <w:b/>
          <w:b/>
        </w:rPr>
      </w:pPr>
      <w:r>
        <w:rPr>
          <w:b/>
        </w:rPr>
      </w:r>
    </w:p>
    <w:p>
      <w:pPr>
        <w:pStyle w:val="Normal"/>
        <w:ind w:left="5670" w:hanging="0"/>
        <w:jc w:val="both"/>
        <w:rPr>
          <w:b/>
          <w:b/>
        </w:rPr>
      </w:pPr>
      <w:r>
        <w:rPr>
          <w:b/>
        </w:rPr>
      </w:r>
    </w:p>
    <w:p>
      <w:pPr>
        <w:pStyle w:val="Normal"/>
        <w:ind w:left="5670" w:hanging="0"/>
        <w:jc w:val="both"/>
        <w:rPr>
          <w:b/>
          <w:b/>
        </w:rPr>
      </w:pPr>
      <w:r>
        <w:rPr>
          <w:b/>
        </w:rPr>
      </w:r>
    </w:p>
    <w:p>
      <w:pPr>
        <w:pStyle w:val="Normal"/>
        <w:suppressAutoHyphens w:val="false"/>
        <w:rPr>
          <w:lang w:eastAsia="ru-RU"/>
        </w:rPr>
      </w:pPr>
      <w:r>
        <w:rPr>
          <w:lang w:eastAsia="ru-RU"/>
        </w:rPr>
      </w:r>
    </w:p>
    <w:p>
      <w:pPr>
        <w:pStyle w:val="Normal"/>
        <w:suppressAutoHyphens w:val="false"/>
        <w:jc w:val="right"/>
        <w:rPr>
          <w:lang w:val="en-US" w:eastAsia="ru-RU"/>
        </w:rPr>
      </w:pPr>
      <w:r>
        <w:rPr>
          <w:lang w:val="en-US" w:eastAsia="ru-RU"/>
        </w:rPr>
      </w:r>
    </w:p>
    <w:p>
      <w:pPr>
        <w:pStyle w:val="Normal"/>
        <w:suppressAutoHyphens w:val="false"/>
        <w:jc w:val="right"/>
        <w:rPr>
          <w:lang w:val="en-US" w:eastAsia="ru-RU"/>
        </w:rPr>
      </w:pPr>
      <w:r>
        <w:rPr>
          <w:lang w:val="en-US" w:eastAsia="ru-RU"/>
        </w:rPr>
      </w:r>
    </w:p>
    <w:p>
      <w:pPr>
        <w:pStyle w:val="Normal"/>
        <w:suppressAutoHyphens w:val="false"/>
        <w:jc w:val="right"/>
        <w:rPr>
          <w:lang w:val="en-US" w:eastAsia="ru-RU"/>
        </w:rPr>
      </w:pPr>
      <w:r>
        <w:rPr>
          <w:lang w:val="en-US" w:eastAsia="ru-RU"/>
        </w:rPr>
      </w:r>
    </w:p>
    <w:p>
      <w:pPr>
        <w:pStyle w:val="Normal"/>
        <w:suppressAutoHyphens w:val="false"/>
        <w:jc w:val="right"/>
        <w:rPr>
          <w:lang w:val="en-US" w:eastAsia="ru-RU"/>
        </w:rPr>
      </w:pPr>
      <w:r>
        <w:rPr>
          <w:lang w:val="en-US" w:eastAsia="ru-RU"/>
        </w:rPr>
      </w:r>
    </w:p>
    <w:p>
      <w:pPr>
        <w:pStyle w:val="Normal"/>
        <w:suppressAutoHyphens w:val="false"/>
        <w:jc w:val="right"/>
        <w:rPr>
          <w:lang w:val="en-US" w:eastAsia="ru-RU"/>
        </w:rPr>
      </w:pPr>
      <w:r>
        <w:rPr>
          <w:lang w:val="en-US" w:eastAsia="ru-RU"/>
        </w:rPr>
      </w:r>
    </w:p>
    <w:p>
      <w:pPr>
        <w:pStyle w:val="Normal"/>
        <w:suppressAutoHyphens w:val="false"/>
        <w:jc w:val="right"/>
        <w:rPr>
          <w:lang w:val="en-US" w:eastAsia="ru-RU"/>
        </w:rPr>
      </w:pPr>
      <w:r>
        <w:rPr>
          <w:lang w:val="en-US" w:eastAsia="ru-RU"/>
        </w:rPr>
      </w:r>
    </w:p>
    <w:p>
      <w:pPr>
        <w:pStyle w:val="Normal"/>
        <w:suppressAutoHyphens w:val="false"/>
        <w:jc w:val="right"/>
        <w:rPr>
          <w:lang w:val="en-US" w:eastAsia="ru-RU"/>
        </w:rPr>
      </w:pPr>
      <w:r>
        <w:rPr>
          <w:lang w:val="en-US" w:eastAsia="ru-RU"/>
        </w:rPr>
      </w:r>
    </w:p>
    <w:p>
      <w:pPr>
        <w:pStyle w:val="Normal"/>
        <w:suppressAutoHyphens w:val="false"/>
        <w:jc w:val="right"/>
        <w:rPr>
          <w:lang w:val="en-US" w:eastAsia="ru-RU"/>
        </w:rPr>
      </w:pPr>
      <w:r>
        <w:rPr>
          <w:lang w:val="en-US" w:eastAsia="ru-RU"/>
        </w:rPr>
      </w:r>
    </w:p>
    <w:p>
      <w:pPr>
        <w:pStyle w:val="Normal"/>
        <w:suppressAutoHyphens w:val="false"/>
        <w:jc w:val="right"/>
        <w:rPr>
          <w:bCs/>
          <w:color w:val="000000"/>
          <w:spacing w:val="-5"/>
          <w:lang w:eastAsia="ru-RU"/>
        </w:rPr>
      </w:pPr>
      <w:r>
        <w:rPr>
          <w:b/>
          <w:bCs/>
          <w:lang w:eastAsia="ru-RU"/>
        </w:rPr>
        <w:t xml:space="preserve">Додаток </w:t>
      </w:r>
      <w:r>
        <w:rPr>
          <w:b/>
          <w:bCs/>
          <w:lang w:val="ru-RU" w:eastAsia="ru-RU"/>
        </w:rPr>
        <w:t xml:space="preserve"> № </w:t>
      </w:r>
      <w:r>
        <w:rPr>
          <w:b/>
          <w:bCs/>
          <w:lang w:eastAsia="ru-RU"/>
        </w:rPr>
        <w:t xml:space="preserve">3 </w:t>
      </w:r>
    </w:p>
    <w:p>
      <w:pPr>
        <w:pStyle w:val="Normal"/>
        <w:suppressAutoHyphens w:val="false"/>
        <w:jc w:val="right"/>
        <w:rPr>
          <w:bCs/>
          <w:color w:val="000000"/>
          <w:spacing w:val="-5"/>
          <w:lang w:eastAsia="ru-RU"/>
        </w:rPr>
      </w:pPr>
      <w:r>
        <w:rPr>
          <w:b/>
          <w:bCs/>
          <w:lang w:eastAsia="ru-RU"/>
        </w:rPr>
        <w:t>до Договору  від ________</w:t>
      </w:r>
      <w:r>
        <w:rPr>
          <w:b/>
          <w:bCs/>
          <w:color w:val="000000"/>
          <w:spacing w:val="-5"/>
          <w:lang w:eastAsia="ru-RU"/>
        </w:rPr>
        <w:t>20__ №____</w:t>
      </w:r>
    </w:p>
    <w:p>
      <w:pPr>
        <w:pStyle w:val="Normal"/>
        <w:suppressAutoHyphens w:val="false"/>
        <w:rPr>
          <w:lang w:eastAsia="ru-RU"/>
        </w:rPr>
      </w:pPr>
      <w:r>
        <w:rPr>
          <w:lang w:eastAsia="ru-RU"/>
        </w:rPr>
      </w:r>
    </w:p>
    <w:p>
      <w:pPr>
        <w:pStyle w:val="Normal"/>
        <w:ind w:right="-69" w:hanging="0"/>
        <w:rPr>
          <w:lang w:val="ru-RU"/>
        </w:rPr>
      </w:pPr>
      <w:r>
        <w:rPr/>
        <w:tab/>
        <w:tab/>
        <w:tab/>
      </w:r>
    </w:p>
    <w:p>
      <w:pPr>
        <w:pStyle w:val="Normal"/>
        <w:ind w:right="-69" w:hanging="0"/>
        <w:rPr>
          <w:lang w:val="ru-RU"/>
        </w:rPr>
      </w:pPr>
      <w:r>
        <w:rPr>
          <w:lang w:val="ru-RU"/>
        </w:rPr>
      </w:r>
    </w:p>
    <w:p>
      <w:pPr>
        <w:pStyle w:val="Normal"/>
        <w:ind w:right="-69" w:hanging="0"/>
        <w:jc w:val="center"/>
        <w:rPr>
          <w:sz w:val="32"/>
          <w:szCs w:val="32"/>
          <w:lang w:val="ru-RU"/>
        </w:rPr>
      </w:pPr>
      <w:r>
        <w:rPr>
          <w:sz w:val="32"/>
          <w:szCs w:val="32"/>
          <w:lang w:val="ru-RU"/>
        </w:rPr>
        <w:t>«</w:t>
      </w:r>
      <w:r>
        <w:rPr>
          <w:sz w:val="32"/>
          <w:szCs w:val="32"/>
        </w:rPr>
        <w:t>Інструкці</w:t>
      </w:r>
      <w:r>
        <w:rPr>
          <w:sz w:val="32"/>
          <w:szCs w:val="32"/>
          <w:lang w:val="ru-RU"/>
        </w:rPr>
        <w:t>я</w:t>
      </w:r>
      <w:r>
        <w:rPr>
          <w:sz w:val="32"/>
          <w:szCs w:val="32"/>
        </w:rPr>
        <w:t xml:space="preserve"> з правил користування сигналізацією</w:t>
      </w:r>
      <w:r>
        <w:rPr>
          <w:sz w:val="32"/>
          <w:szCs w:val="32"/>
          <w:lang w:val="ru-RU"/>
        </w:rPr>
        <w:t>»</w:t>
      </w:r>
    </w:p>
    <w:p>
      <w:pPr>
        <w:pStyle w:val="Normal"/>
        <w:ind w:right="-69" w:hanging="0"/>
        <w:jc w:val="center"/>
        <w:rPr>
          <w:lang w:val="ru-RU"/>
        </w:rPr>
      </w:pPr>
      <w:r>
        <w:rPr>
          <w:lang w:val="ru-RU"/>
        </w:rPr>
        <w:t>(заповнюється Учасником)</w:t>
      </w:r>
    </w:p>
    <w:p>
      <w:pPr>
        <w:pStyle w:val="Normal"/>
        <w:ind w:right="-69" w:hanging="0"/>
        <w:jc w:val="center"/>
        <w:rPr>
          <w:lang w:val="ru-RU"/>
        </w:rPr>
      </w:pPr>
      <w:r>
        <w:rPr>
          <w:lang w:val="ru-RU"/>
        </w:rPr>
      </w:r>
    </w:p>
    <w:p>
      <w:pPr>
        <w:pStyle w:val="Normal"/>
        <w:ind w:right="-69" w:hanging="0"/>
        <w:jc w:val="center"/>
        <w:rPr>
          <w:lang w:val="ru-RU"/>
        </w:rPr>
      </w:pPr>
      <w:r>
        <w:rPr>
          <w:lang w:val="ru-RU"/>
        </w:rPr>
      </w:r>
    </w:p>
    <w:p>
      <w:pPr>
        <w:pStyle w:val="Normal"/>
        <w:suppressAutoHyphens w:val="false"/>
        <w:rPr>
          <w:lang w:val="ru-RU" w:eastAsia="ru-RU"/>
        </w:rPr>
      </w:pPr>
      <w:r>
        <w:rPr>
          <w:lang w:val="ru-RU" w:eastAsia="ru-RU"/>
        </w:rPr>
      </w:r>
    </w:p>
    <w:p>
      <w:pPr>
        <w:pStyle w:val="Normal"/>
        <w:suppressAutoHyphens w:val="false"/>
        <w:rPr>
          <w:lang w:val="ru-RU" w:eastAsia="ru-RU"/>
        </w:rPr>
      </w:pPr>
      <w:r>
        <w:rPr>
          <w:lang w:val="ru-RU" w:eastAsia="ru-RU"/>
        </w:rPr>
      </w:r>
    </w:p>
    <w:p>
      <w:pPr>
        <w:pStyle w:val="Normal"/>
        <w:suppressAutoHyphens w:val="false"/>
        <w:rPr>
          <w:lang w:val="ru-RU" w:eastAsia="ru-RU"/>
        </w:rPr>
      </w:pPr>
      <w:r>
        <w:rPr>
          <w:lang w:val="ru-RU" w:eastAsia="ru-RU"/>
        </w:rPr>
      </w:r>
    </w:p>
    <w:p>
      <w:pPr>
        <w:pStyle w:val="Normal"/>
        <w:suppressAutoHyphens w:val="false"/>
        <w:rPr>
          <w:lang w:eastAsia="ru-RU"/>
        </w:rPr>
      </w:pPr>
      <w:r>
        <w:rPr>
          <w:lang w:eastAsia="ru-RU"/>
        </w:rPr>
      </w:r>
    </w:p>
    <w:tbl>
      <w:tblPr>
        <w:tblW w:w="9855" w:type="dxa"/>
        <w:jc w:val="left"/>
        <w:tblInd w:w="0" w:type="dxa"/>
        <w:tblCellMar>
          <w:top w:w="0" w:type="dxa"/>
          <w:left w:w="108" w:type="dxa"/>
          <w:bottom w:w="0" w:type="dxa"/>
          <w:right w:w="108" w:type="dxa"/>
        </w:tblCellMar>
        <w:tblLook w:val="01e0"/>
      </w:tblPr>
      <w:tblGrid>
        <w:gridCol w:w="4359"/>
        <w:gridCol w:w="5495"/>
      </w:tblGrid>
      <w:tr>
        <w:trPr>
          <w:trHeight w:val="4498" w:hRule="atLeast"/>
        </w:trPr>
        <w:tc>
          <w:tcPr>
            <w:tcW w:w="4359" w:type="dxa"/>
            <w:tcBorders/>
          </w:tcPr>
          <w:p>
            <w:pPr>
              <w:pStyle w:val="Normal"/>
              <w:suppressAutoHyphens w:val="false"/>
              <w:jc w:val="center"/>
              <w:rPr>
                <w:lang w:eastAsia="ru-RU"/>
              </w:rPr>
            </w:pPr>
            <w:r>
              <w:rPr>
                <w:lang w:val="ru-RU" w:eastAsia="ru-RU"/>
              </w:rPr>
              <w:t xml:space="preserve">ЗАМОВНИК </w:t>
            </w:r>
          </w:p>
          <w:p>
            <w:pPr>
              <w:pStyle w:val="Normal"/>
              <w:suppressAutoHyphens w:val="false"/>
              <w:jc w:val="center"/>
              <w:rPr>
                <w:lang w:eastAsia="ru-RU"/>
              </w:rPr>
            </w:pPr>
            <w:r>
              <w:rPr>
                <w:color w:val="000000"/>
                <w:spacing w:val="-5"/>
                <w:lang w:eastAsia="ru-RU"/>
              </w:rPr>
              <w:t>Головне управління Пенсійного фонду України в Тернопільській області</w:t>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t xml:space="preserve">Начальник  управління                           </w:t>
            </w:r>
          </w:p>
          <w:p>
            <w:pPr>
              <w:pStyle w:val="Normal"/>
              <w:suppressAutoHyphens w:val="false"/>
              <w:rPr>
                <w:lang w:eastAsia="ru-RU"/>
              </w:rPr>
            </w:pPr>
            <w:r>
              <w:rPr>
                <w:lang w:eastAsia="ru-RU"/>
              </w:rPr>
            </w:r>
          </w:p>
          <w:p>
            <w:pPr>
              <w:pStyle w:val="Normal"/>
              <w:suppressAutoHyphens w:val="false"/>
              <w:rPr>
                <w:lang w:eastAsia="ru-RU"/>
              </w:rPr>
            </w:pPr>
            <w:r>
              <w:rPr>
                <w:lang w:eastAsia="ru-RU"/>
              </w:rPr>
              <w:t>_____________________І.І. Москалик</w:t>
            </w:r>
          </w:p>
        </w:tc>
        <w:tc>
          <w:tcPr>
            <w:tcW w:w="5495" w:type="dxa"/>
            <w:tcBorders/>
          </w:tcPr>
          <w:p>
            <w:pPr>
              <w:pStyle w:val="Normal"/>
              <w:suppressAutoHyphens w:val="false"/>
              <w:jc w:val="center"/>
              <w:rPr>
                <w:lang w:val="ru-RU" w:eastAsia="ru-RU"/>
              </w:rPr>
            </w:pPr>
            <w:r>
              <w:rPr>
                <w:lang w:val="ru-RU" w:eastAsia="ru-RU"/>
              </w:rPr>
              <w:t>ВИКОНАВЕЦЬ</w:t>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rPr>
                <w:lang w:eastAsia="ru-RU"/>
              </w:rPr>
            </w:pPr>
            <w:r>
              <w:rPr>
                <w:lang w:eastAsia="ru-RU"/>
              </w:rPr>
            </w:r>
          </w:p>
          <w:p>
            <w:pPr>
              <w:pStyle w:val="Normal"/>
              <w:suppressAutoHyphens w:val="false"/>
              <w:jc w:val="center"/>
              <w:rPr>
                <w:lang w:val="ru-RU" w:eastAsia="ru-RU"/>
              </w:rPr>
            </w:pPr>
            <w:r>
              <w:rPr>
                <w:lang w:val="ru-RU"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r>
          </w:p>
          <w:p>
            <w:pPr>
              <w:pStyle w:val="Normal"/>
              <w:suppressAutoHyphens w:val="false"/>
              <w:rPr>
                <w:lang w:eastAsia="ru-RU"/>
              </w:rPr>
            </w:pPr>
            <w:r>
              <w:rPr>
                <w:lang w:eastAsia="ru-RU"/>
              </w:rPr>
              <w:t>______________________________</w:t>
            </w:r>
          </w:p>
          <w:p>
            <w:pPr>
              <w:pStyle w:val="Normal"/>
              <w:suppressAutoHyphens w:val="false"/>
              <w:rPr>
                <w:lang w:eastAsia="ru-RU"/>
              </w:rPr>
            </w:pPr>
            <w:r>
              <w:rPr>
                <w:lang w:eastAsia="ru-RU"/>
              </w:rPr>
            </w:r>
          </w:p>
        </w:tc>
      </w:tr>
    </w:tbl>
    <w:p>
      <w:pPr>
        <w:pStyle w:val="Normal"/>
        <w:suppressAutoHyphens w:val="false"/>
        <w:rPr>
          <w:lang w:eastAsia="ru-RU"/>
        </w:rPr>
      </w:pPr>
      <w:r>
        <w:rPr>
          <w:lang w:eastAsia="ru-RU"/>
        </w:rPr>
      </w:r>
    </w:p>
    <w:p>
      <w:pPr>
        <w:pStyle w:val="Normal"/>
        <w:rPr/>
      </w:pPr>
      <w:r>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color w:val="000000" w:themeColor="text1"/>
          <w:lang w:val="uk-UA" w:eastAsia="en-US"/>
        </w:rPr>
      </w:pPr>
      <w:r>
        <w:rPr>
          <w:b/>
          <w:color w:val="000000" w:themeColor="text1"/>
          <w:lang w:val="uk-UA" w:eastAsia="en-US"/>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right="423" w:hanging="0"/>
        <w:rPr>
          <w:b/>
          <w:b/>
          <w:color w:val="000000" w:themeColor="text1"/>
          <w:lang w:val="uk-UA" w:eastAsia="en-US"/>
        </w:rPr>
      </w:pPr>
      <w:r>
        <w:rPr>
          <w:b/>
          <w:color w:val="000000" w:themeColor="text1"/>
          <w:lang w:val="uk-UA" w:eastAsia="en-US"/>
        </w:rPr>
      </w:r>
    </w:p>
    <w:p>
      <w:pPr>
        <w:pStyle w:val="Normal"/>
        <w:jc w:val="right"/>
        <w:rPr>
          <w:sz w:val="28"/>
          <w:szCs w:val="28"/>
          <w:lang w:val="ru-RU"/>
        </w:rPr>
      </w:pPr>
      <w:r>
        <w:rPr>
          <w:sz w:val="28"/>
          <w:szCs w:val="28"/>
        </w:rPr>
        <w:t>Додаток  №</w:t>
        <w:tab/>
      </w:r>
      <w:r>
        <w:rPr>
          <w:sz w:val="28"/>
          <w:szCs w:val="28"/>
          <w:lang w:val="ru-RU"/>
        </w:rPr>
        <w:t>4</w:t>
      </w:r>
    </w:p>
    <w:p>
      <w:pPr>
        <w:pStyle w:val="Normal"/>
        <w:ind w:left="6378" w:hanging="0"/>
        <w:jc w:val="both"/>
        <w:rPr/>
      </w:pPr>
      <w:r>
        <w:rPr/>
        <w:t xml:space="preserve">         </w:t>
      </w:r>
      <w:r>
        <w:rPr/>
        <w:t>до тендерної документації</w:t>
      </w:r>
    </w:p>
    <w:p>
      <w:pPr>
        <w:pStyle w:val="Normal"/>
        <w:jc w:val="right"/>
        <w:rPr>
          <w:sz w:val="28"/>
          <w:szCs w:val="28"/>
        </w:rPr>
      </w:pPr>
      <w:r>
        <w:rPr>
          <w:sz w:val="28"/>
          <w:szCs w:val="28"/>
        </w:rPr>
        <w:t xml:space="preserve"> </w:t>
      </w:r>
    </w:p>
    <w:p>
      <w:pPr>
        <w:pStyle w:val="Normal"/>
        <w:rPr>
          <w:sz w:val="28"/>
          <w:szCs w:val="28"/>
        </w:rPr>
      </w:pPr>
      <w:r>
        <w:rPr>
          <w:sz w:val="28"/>
          <w:szCs w:val="28"/>
        </w:rPr>
      </w:r>
    </w:p>
    <w:p>
      <w:pPr>
        <w:pStyle w:val="Normal"/>
        <w:jc w:val="center"/>
        <w:rPr>
          <w:sz w:val="28"/>
          <w:szCs w:val="28"/>
        </w:rPr>
      </w:pPr>
      <w:r>
        <w:rPr>
          <w:sz w:val="28"/>
          <w:szCs w:val="28"/>
        </w:rPr>
        <w:t>Перелік об’єктів</w:t>
      </w:r>
      <w:r>
        <w:rPr>
          <w:sz w:val="28"/>
          <w:szCs w:val="28"/>
          <w:lang w:val="ru-RU"/>
        </w:rPr>
        <w:t xml:space="preserve"> </w:t>
      </w:r>
      <w:r>
        <w:rPr>
          <w:sz w:val="28"/>
          <w:szCs w:val="28"/>
        </w:rPr>
        <w:t>охорони</w:t>
      </w:r>
    </w:p>
    <w:p>
      <w:pPr>
        <w:pStyle w:val="Normal"/>
        <w:jc w:val="center"/>
        <w:rPr>
          <w:sz w:val="28"/>
          <w:szCs w:val="28"/>
        </w:rPr>
      </w:pPr>
      <w:r>
        <w:rPr>
          <w:sz w:val="28"/>
          <w:szCs w:val="28"/>
        </w:rPr>
      </w:r>
    </w:p>
    <w:tbl>
      <w:tblPr>
        <w:tblW w:w="9754" w:type="dxa"/>
        <w:jc w:val="left"/>
        <w:tblInd w:w="-432" w:type="dxa"/>
        <w:tblCellMar>
          <w:top w:w="0" w:type="dxa"/>
          <w:left w:w="108" w:type="dxa"/>
          <w:bottom w:w="0" w:type="dxa"/>
          <w:right w:w="108" w:type="dxa"/>
        </w:tblCellMar>
        <w:tblLook w:val="00a0"/>
      </w:tblPr>
      <w:tblGrid>
        <w:gridCol w:w="535"/>
        <w:gridCol w:w="2981"/>
        <w:gridCol w:w="3119"/>
        <w:gridCol w:w="3118"/>
      </w:tblGrid>
      <w:tr>
        <w:trPr>
          <w:trHeight w:val="2313" w:hRule="exact"/>
        </w:trPr>
        <w:tc>
          <w:tcPr>
            <w:tcW w:w="535"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w:t>
            </w:r>
          </w:p>
        </w:tc>
        <w:tc>
          <w:tcPr>
            <w:tcW w:w="2981"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Назва об</w:t>
            </w:r>
            <w:r>
              <w:rPr>
                <w:lang w:val="ru-RU" w:eastAsia="uk-UA"/>
              </w:rPr>
              <w:t>’</w:t>
            </w:r>
            <w:r>
              <w:rPr>
                <w:lang w:eastAsia="uk-UA"/>
              </w:rPr>
              <w:t>єкта охорони</w:t>
            </w:r>
          </w:p>
          <w:p>
            <w:pPr>
              <w:pStyle w:val="Normal"/>
              <w:shd w:val="clear" w:color="auto" w:fill="FFFFFF"/>
              <w:jc w:val="center"/>
              <w:rPr>
                <w:lang w:eastAsia="uk-UA"/>
              </w:rPr>
            </w:pPr>
            <w:r>
              <w:rPr>
                <w:lang w:eastAsia="uk-UA"/>
              </w:rPr>
              <w:t xml:space="preserve">структурних підрозділів </w:t>
            </w:r>
            <w:r>
              <w:rPr>
                <w:sz w:val="23"/>
                <w:szCs w:val="23"/>
              </w:rPr>
              <w:t>Головного управління Пенсійного фонду України в Тернопільській області</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jc w:val="center"/>
              <w:rPr>
                <w:lang w:eastAsia="uk-UA"/>
              </w:rPr>
            </w:pPr>
            <w:r>
              <w:rPr>
                <w:lang w:eastAsia="uk-UA"/>
              </w:rPr>
              <w:t>Адреса об</w:t>
            </w:r>
            <w:r>
              <w:rPr>
                <w:lang w:val="en-US" w:eastAsia="uk-UA"/>
              </w:rPr>
              <w:t>’</w:t>
            </w:r>
            <w:r>
              <w:rPr>
                <w:lang w:eastAsia="uk-UA"/>
              </w:rPr>
              <w:t>єкта</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exact" w:line="274"/>
              <w:ind w:left="91" w:hanging="0"/>
              <w:jc w:val="center"/>
              <w:rPr>
                <w:lang w:eastAsia="ru-RU"/>
              </w:rPr>
            </w:pPr>
            <w:r>
              <w:rPr>
                <w:lang w:eastAsia="ru-RU"/>
              </w:rPr>
              <w:t>Графік надання послуг</w:t>
            </w:r>
          </w:p>
        </w:tc>
      </w:tr>
      <w:tr>
        <w:trPr>
          <w:trHeight w:val="1701"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1</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981" w:type="dxa"/>
            <w:tcBorders/>
            <w:tcMar>
              <w:top w:w="55" w:type="dxa"/>
              <w:left w:w="55" w:type="dxa"/>
              <w:bottom w:w="55" w:type="dxa"/>
              <w:right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№1</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lang w:val="ru-RU"/>
              </w:rPr>
            </w:pPr>
            <w:r>
              <w:rPr>
                <w:sz w:val="23"/>
                <w:szCs w:val="23"/>
              </w:rPr>
              <w:t xml:space="preserve">м. Бережани,  </w:t>
            </w:r>
          </w:p>
          <w:p>
            <w:pPr>
              <w:pStyle w:val="Normal"/>
              <w:ind w:right="141" w:hanging="0"/>
              <w:jc w:val="both"/>
              <w:rPr>
                <w:sz w:val="23"/>
                <w:szCs w:val="23"/>
              </w:rPr>
            </w:pPr>
            <w:r>
              <w:rPr>
                <w:sz w:val="23"/>
                <w:szCs w:val="23"/>
              </w:rPr>
              <w:t>вул. Шевченка, 13</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1965"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2</w:t>
            </w:r>
          </w:p>
        </w:tc>
        <w:tc>
          <w:tcPr>
            <w:tcW w:w="2981" w:type="dxa"/>
            <w:tcBorders/>
            <w:tcMar>
              <w:top w:w="55" w:type="dxa"/>
              <w:left w:w="55" w:type="dxa"/>
              <w:bottom w:w="55" w:type="dxa"/>
              <w:right w:w="55" w:type="dxa"/>
            </w:tcMar>
            <w:vAlign w:val="center"/>
          </w:tcPr>
          <w:p>
            <w:pPr>
              <w:pStyle w:val="Normal"/>
              <w:snapToGrid w:val="false"/>
              <w:spacing w:lineRule="auto" w:line="252"/>
              <w:ind w:right="-108" w:hanging="0"/>
              <w:rPr>
                <w:sz w:val="23"/>
                <w:szCs w:val="23"/>
              </w:rPr>
            </w:pPr>
            <w:r>
              <w:rPr>
                <w:sz w:val="23"/>
                <w:szCs w:val="23"/>
              </w:rPr>
              <w:t>Відділ обслуговування громадян №2</w:t>
            </w:r>
          </w:p>
          <w:p>
            <w:pPr>
              <w:pStyle w:val="Normal"/>
              <w:snapToGrid w:val="false"/>
              <w:spacing w:lineRule="auto" w:line="252"/>
              <w:ind w:right="-108"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Борщів, </w:t>
            </w:r>
          </w:p>
          <w:p>
            <w:pPr>
              <w:pStyle w:val="Normal"/>
              <w:ind w:right="141" w:hanging="0"/>
              <w:jc w:val="both"/>
              <w:rPr>
                <w:sz w:val="23"/>
                <w:szCs w:val="23"/>
              </w:rPr>
            </w:pPr>
            <w:r>
              <w:rPr>
                <w:sz w:val="23"/>
                <w:szCs w:val="23"/>
              </w:rPr>
              <w:t>вул С.Бандери, 19а</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1823"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3</w:t>
            </w:r>
          </w:p>
        </w:tc>
        <w:tc>
          <w:tcPr>
            <w:tcW w:w="2981" w:type="dxa"/>
            <w:tcBorders/>
            <w:tcMar>
              <w:top w:w="55" w:type="dxa"/>
              <w:bottom w:w="55" w:type="dxa"/>
            </w:tcMar>
            <w:vAlign w:val="center"/>
          </w:tcPr>
          <w:p>
            <w:pPr>
              <w:pStyle w:val="Normal"/>
              <w:snapToGrid w:val="false"/>
              <w:spacing w:lineRule="auto" w:line="252"/>
              <w:ind w:right="-133" w:hanging="0"/>
              <w:rPr>
                <w:sz w:val="23"/>
                <w:szCs w:val="23"/>
              </w:rPr>
            </w:pPr>
            <w:r>
              <w:rPr>
                <w:sz w:val="23"/>
                <w:szCs w:val="23"/>
              </w:rPr>
              <w:t>Відділ обслуговування громадян №3</w:t>
            </w:r>
          </w:p>
          <w:p>
            <w:pPr>
              <w:pStyle w:val="Normal"/>
              <w:snapToGrid w:val="false"/>
              <w:spacing w:lineRule="auto" w:line="252"/>
              <w:ind w:right="-133"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 Бучач,</w:t>
            </w:r>
          </w:p>
          <w:p>
            <w:pPr>
              <w:pStyle w:val="Normal"/>
              <w:ind w:right="141" w:hanging="0"/>
              <w:jc w:val="both"/>
              <w:rPr>
                <w:sz w:val="23"/>
                <w:szCs w:val="23"/>
              </w:rPr>
            </w:pPr>
            <w:r>
              <w:rPr>
                <w:sz w:val="23"/>
                <w:szCs w:val="23"/>
              </w:rPr>
              <w:t xml:space="preserve"> </w:t>
            </w:r>
            <w:r>
              <w:rPr>
                <w:sz w:val="23"/>
                <w:szCs w:val="23"/>
              </w:rPr>
              <w:t>вул. Г.Шухевича,1</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1703"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4</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№4</w:t>
            </w:r>
          </w:p>
          <w:p>
            <w:pPr>
              <w:pStyle w:val="Normal"/>
              <w:ind w:right="141" w:hanging="0"/>
              <w:rPr>
                <w:sz w:val="23"/>
                <w:szCs w:val="23"/>
              </w:rPr>
            </w:pP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смт.Гусятин,                          вул. Незалежності,50</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1993"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5</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№12</w:t>
            </w:r>
          </w:p>
          <w:p>
            <w:pPr>
              <w:pStyle w:val="Normal"/>
              <w:ind w:right="141" w:hanging="0"/>
              <w:rPr>
                <w:sz w:val="23"/>
                <w:szCs w:val="23"/>
              </w:rPr>
            </w:pP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м. Заліщики, вул.Грушевського,12</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123"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6</w:t>
            </w:r>
          </w:p>
          <w:p>
            <w:pPr>
              <w:pStyle w:val="Normal"/>
              <w:rPr>
                <w:lang w:val="ru-RU" w:eastAsia="ru-RU"/>
              </w:rPr>
            </w:pPr>
            <w:r>
              <w:rPr>
                <w:lang w:val="ru-RU"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№8</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Збараж, </w:t>
            </w:r>
          </w:p>
          <w:p>
            <w:pPr>
              <w:pStyle w:val="Normal"/>
              <w:ind w:right="141" w:hanging="0"/>
              <w:jc w:val="both"/>
              <w:rPr>
                <w:sz w:val="23"/>
                <w:szCs w:val="23"/>
              </w:rPr>
            </w:pPr>
            <w:r>
              <w:rPr>
                <w:sz w:val="23"/>
                <w:szCs w:val="23"/>
              </w:rPr>
              <w:t>вул. Грушевського,3</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126"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eastAsia="ru-RU"/>
              </w:rPr>
              <w:t>7</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c>
        <w:tc>
          <w:tcPr>
            <w:tcW w:w="2981" w:type="dxa"/>
            <w:tcBorders/>
            <w:tcMar>
              <w:top w:w="55" w:type="dxa"/>
              <w:bottom w:w="55" w:type="dxa"/>
            </w:tcMar>
          </w:tcPr>
          <w:p>
            <w:pPr>
              <w:pStyle w:val="Normal"/>
              <w:ind w:right="141" w:hanging="0"/>
              <w:rPr>
                <w:sz w:val="23"/>
                <w:szCs w:val="23"/>
              </w:rPr>
            </w:pPr>
            <w:r>
              <w:rPr>
                <w:sz w:val="23"/>
                <w:szCs w:val="23"/>
              </w:rPr>
              <w:t xml:space="preserve">Відділ обслуговування громадян №5 </w:t>
            </w:r>
          </w:p>
          <w:p>
            <w:pPr>
              <w:pStyle w:val="Normal"/>
              <w:ind w:right="141" w:hanging="0"/>
              <w:rPr>
                <w:sz w:val="23"/>
                <w:szCs w:val="23"/>
              </w:rPr>
            </w:pP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м.Зборів, </w:t>
            </w:r>
          </w:p>
          <w:p>
            <w:pPr>
              <w:pStyle w:val="Normal"/>
              <w:ind w:right="141" w:hanging="0"/>
              <w:jc w:val="both"/>
              <w:rPr>
                <w:sz w:val="23"/>
                <w:szCs w:val="23"/>
              </w:rPr>
            </w:pPr>
            <w:r>
              <w:rPr>
                <w:sz w:val="23"/>
                <w:szCs w:val="23"/>
              </w:rPr>
              <w:t>вул. Гоголя,40</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269"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8</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№5</w:t>
            </w:r>
          </w:p>
          <w:p>
            <w:pPr>
              <w:pStyle w:val="Normal"/>
              <w:ind w:right="141" w:hanging="0"/>
              <w:rPr>
                <w:sz w:val="23"/>
                <w:szCs w:val="23"/>
              </w:rPr>
            </w:pP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смт. Козова, </w:t>
            </w:r>
          </w:p>
          <w:p>
            <w:pPr>
              <w:pStyle w:val="Normal"/>
              <w:ind w:right="141" w:hanging="0"/>
              <w:jc w:val="both"/>
              <w:rPr>
                <w:sz w:val="23"/>
                <w:szCs w:val="23"/>
              </w:rPr>
            </w:pPr>
            <w:r>
              <w:rPr>
                <w:sz w:val="23"/>
                <w:szCs w:val="23"/>
              </w:rPr>
              <w:t>вул. Грушевського, 26</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bookmarkStart w:id="14" w:name="_GoBack3"/>
            <w:bookmarkEnd w:id="14"/>
          </w:p>
        </w:tc>
      </w:tr>
      <w:tr>
        <w:trPr>
          <w:trHeight w:val="2259"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9</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№6</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Кременець, </w:t>
            </w:r>
          </w:p>
          <w:p>
            <w:pPr>
              <w:pStyle w:val="Normal"/>
              <w:ind w:right="141" w:hanging="0"/>
              <w:jc w:val="both"/>
              <w:rPr>
                <w:sz w:val="23"/>
                <w:szCs w:val="23"/>
              </w:rPr>
            </w:pPr>
            <w:r>
              <w:rPr>
                <w:sz w:val="23"/>
                <w:szCs w:val="23"/>
              </w:rPr>
              <w:t>вул. Чорновола,2</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263"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10</w:t>
            </w:r>
          </w:p>
        </w:tc>
        <w:tc>
          <w:tcPr>
            <w:tcW w:w="2981" w:type="dxa"/>
            <w:tcBorders/>
            <w:tcMar>
              <w:top w:w="55" w:type="dxa"/>
              <w:bottom w:w="55" w:type="dxa"/>
            </w:tcMar>
          </w:tcPr>
          <w:p>
            <w:pPr>
              <w:pStyle w:val="Normal"/>
              <w:ind w:right="141" w:hanging="0"/>
              <w:rPr>
                <w:sz w:val="23"/>
                <w:szCs w:val="23"/>
              </w:rPr>
            </w:pPr>
            <w:r>
              <w:rPr>
                <w:sz w:val="23"/>
                <w:szCs w:val="23"/>
              </w:rPr>
              <w:t xml:space="preserve">Відділ обслуговування громадян №7 </w:t>
            </w:r>
          </w:p>
          <w:p>
            <w:pPr>
              <w:pStyle w:val="Normal"/>
              <w:ind w:right="141" w:hanging="0"/>
              <w:rPr>
                <w:sz w:val="23"/>
                <w:szCs w:val="23"/>
              </w:rPr>
            </w:pP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Ланівці,  </w:t>
            </w:r>
          </w:p>
          <w:p>
            <w:pPr>
              <w:pStyle w:val="Normal"/>
              <w:ind w:right="141" w:hanging="0"/>
              <w:jc w:val="both"/>
              <w:rPr>
                <w:sz w:val="23"/>
                <w:szCs w:val="23"/>
              </w:rPr>
            </w:pPr>
            <w:r>
              <w:rPr>
                <w:sz w:val="23"/>
                <w:szCs w:val="23"/>
              </w:rPr>
              <w:t>вул. Грушевського,13</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40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11</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№3</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Монастириська,     </w:t>
            </w:r>
          </w:p>
          <w:p>
            <w:pPr>
              <w:pStyle w:val="Normal"/>
              <w:ind w:right="141" w:hanging="0"/>
              <w:jc w:val="both"/>
              <w:rPr>
                <w:sz w:val="23"/>
                <w:szCs w:val="23"/>
              </w:rPr>
            </w:pPr>
            <w:r>
              <w:rPr>
                <w:sz w:val="23"/>
                <w:szCs w:val="23"/>
              </w:rPr>
              <w:t>вул. С.Бандери,1</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25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12</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№8</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смт. Підволочиськ, </w:t>
            </w:r>
          </w:p>
          <w:p>
            <w:pPr>
              <w:pStyle w:val="Normal"/>
              <w:ind w:right="141" w:hanging="0"/>
              <w:jc w:val="both"/>
              <w:rPr>
                <w:sz w:val="23"/>
                <w:szCs w:val="23"/>
              </w:rPr>
            </w:pPr>
            <w:r>
              <w:rPr>
                <w:sz w:val="23"/>
                <w:szCs w:val="23"/>
              </w:rPr>
              <w:t>вул. Д. Галицького,67.</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26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13</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№1</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lang w:val="en-US"/>
              </w:rPr>
            </w:pPr>
            <w:r>
              <w:rPr>
                <w:sz w:val="23"/>
                <w:szCs w:val="23"/>
              </w:rPr>
              <w:t>м. Підгайці,</w:t>
            </w:r>
          </w:p>
          <w:p>
            <w:pPr>
              <w:pStyle w:val="Normal"/>
              <w:ind w:right="141" w:hanging="0"/>
              <w:jc w:val="both"/>
              <w:rPr>
                <w:sz w:val="23"/>
                <w:szCs w:val="23"/>
              </w:rPr>
            </w:pPr>
            <w:r>
              <w:rPr>
                <w:sz w:val="23"/>
                <w:szCs w:val="23"/>
              </w:rPr>
              <w:t>вул. Шевченка,22</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412"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14</w:t>
            </w:r>
          </w:p>
        </w:tc>
        <w:tc>
          <w:tcPr>
            <w:tcW w:w="2981" w:type="dxa"/>
            <w:tcBorders/>
            <w:tcMar>
              <w:top w:w="55" w:type="dxa"/>
              <w:bottom w:w="55" w:type="dxa"/>
            </w:tcMar>
          </w:tcPr>
          <w:p>
            <w:pPr>
              <w:pStyle w:val="Normal"/>
              <w:ind w:right="141" w:hanging="0"/>
              <w:rPr>
                <w:sz w:val="23"/>
                <w:szCs w:val="23"/>
              </w:rPr>
            </w:pPr>
            <w:r>
              <w:rPr>
                <w:sz w:val="23"/>
                <w:szCs w:val="23"/>
              </w:rPr>
              <w:t xml:space="preserve">Відділ обслуговування громадян №9 </w:t>
            </w:r>
          </w:p>
          <w:p>
            <w:pPr>
              <w:pStyle w:val="Normal"/>
              <w:ind w:right="141" w:hanging="0"/>
              <w:rPr>
                <w:sz w:val="23"/>
                <w:szCs w:val="23"/>
              </w:rPr>
            </w:pP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lang w:val="en-US"/>
              </w:rPr>
            </w:pPr>
            <w:r>
              <w:rPr>
                <w:sz w:val="23"/>
                <w:szCs w:val="23"/>
              </w:rPr>
              <w:t>м .Теребовля,</w:t>
            </w:r>
          </w:p>
          <w:p>
            <w:pPr>
              <w:pStyle w:val="Normal"/>
              <w:ind w:right="141" w:hanging="0"/>
              <w:jc w:val="both"/>
              <w:rPr>
                <w:sz w:val="23"/>
                <w:szCs w:val="23"/>
              </w:rPr>
            </w:pPr>
            <w:r>
              <w:rPr>
                <w:sz w:val="23"/>
                <w:szCs w:val="23"/>
              </w:rPr>
              <w:t>вул. 22 Січня,17</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560"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15</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№10</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Тернопіль, </w:t>
            </w:r>
          </w:p>
          <w:p>
            <w:pPr>
              <w:pStyle w:val="Normal"/>
              <w:ind w:right="141" w:hanging="0"/>
              <w:jc w:val="both"/>
              <w:rPr>
                <w:sz w:val="23"/>
                <w:szCs w:val="23"/>
              </w:rPr>
            </w:pPr>
            <w:r>
              <w:rPr>
                <w:sz w:val="23"/>
                <w:szCs w:val="23"/>
              </w:rPr>
              <w:t>вул. Кривоноса, 10</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540"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16</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№12</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lang w:val="en-US"/>
              </w:rPr>
            </w:pPr>
            <w:r>
              <w:rPr>
                <w:sz w:val="23"/>
                <w:szCs w:val="23"/>
              </w:rPr>
              <w:t>м. Чортків,</w:t>
            </w:r>
          </w:p>
          <w:p>
            <w:pPr>
              <w:pStyle w:val="Normal"/>
              <w:ind w:right="141" w:hanging="0"/>
              <w:jc w:val="both"/>
              <w:rPr>
                <w:sz w:val="23"/>
                <w:szCs w:val="23"/>
              </w:rPr>
            </w:pPr>
            <w:r>
              <w:rPr>
                <w:sz w:val="23"/>
                <w:szCs w:val="23"/>
              </w:rPr>
              <w:t>вул. Шевченка,34</w:t>
            </w:r>
          </w:p>
          <w:p>
            <w:pPr>
              <w:pStyle w:val="Normal"/>
              <w:ind w:right="141" w:hanging="0"/>
              <w:jc w:val="both"/>
              <w:rPr>
                <w:sz w:val="23"/>
                <w:szCs w:val="23"/>
              </w:rPr>
            </w:pPr>
            <w:r>
              <w:rPr>
                <w:sz w:val="23"/>
                <w:szCs w:val="23"/>
              </w:rPr>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254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17</w:t>
            </w:r>
          </w:p>
        </w:tc>
        <w:tc>
          <w:tcPr>
            <w:tcW w:w="2981" w:type="dxa"/>
            <w:tcBorders/>
            <w:tcMar>
              <w:top w:w="55" w:type="dxa"/>
              <w:bottom w:w="55" w:type="dxa"/>
            </w:tcMar>
          </w:tcPr>
          <w:p>
            <w:pPr>
              <w:pStyle w:val="Normal"/>
              <w:ind w:right="141" w:hanging="0"/>
              <w:rPr>
                <w:sz w:val="23"/>
                <w:szCs w:val="23"/>
              </w:rPr>
            </w:pPr>
            <w:r>
              <w:rPr>
                <w:sz w:val="23"/>
                <w:szCs w:val="23"/>
              </w:rPr>
              <w:t>Відділ обслуговування громадян №7</w:t>
            </w:r>
          </w:p>
          <w:p>
            <w:pPr>
              <w:pStyle w:val="Normal"/>
              <w:ind w:right="141" w:hanging="0"/>
              <w:rPr>
                <w:sz w:val="23"/>
                <w:szCs w:val="23"/>
              </w:rPr>
            </w:pPr>
            <w:r>
              <w:rPr>
                <w:sz w:val="23"/>
                <w:szCs w:val="23"/>
              </w:rPr>
              <w:t xml:space="preserve"> </w:t>
            </w:r>
            <w:r>
              <w:rPr>
                <w:sz w:val="23"/>
                <w:szCs w:val="23"/>
              </w:rPr>
              <w:t>(сервісний центр)</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r>
          </w:p>
          <w:p>
            <w:pPr>
              <w:pStyle w:val="Normal"/>
              <w:ind w:right="141" w:hanging="0"/>
              <w:jc w:val="both"/>
              <w:rPr>
                <w:sz w:val="23"/>
                <w:szCs w:val="23"/>
                <w:lang w:val="ru-RU"/>
              </w:rPr>
            </w:pPr>
            <w:r>
              <w:rPr>
                <w:sz w:val="23"/>
                <w:szCs w:val="23"/>
              </w:rPr>
              <w:t xml:space="preserve">м.Шумськ, </w:t>
            </w:r>
          </w:p>
          <w:p>
            <w:pPr>
              <w:pStyle w:val="Normal"/>
              <w:ind w:right="141" w:hanging="0"/>
              <w:jc w:val="both"/>
              <w:rPr>
                <w:sz w:val="23"/>
                <w:szCs w:val="23"/>
              </w:rPr>
            </w:pPr>
            <w:r>
              <w:rPr>
                <w:sz w:val="23"/>
                <w:szCs w:val="23"/>
              </w:rPr>
              <w:t>вул. І.Франка,34а</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17.15-08.00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16.00-08.00</w:t>
            </w:r>
          </w:p>
          <w:p>
            <w:pPr>
              <w:pStyle w:val="Normal"/>
              <w:jc w:val="center"/>
              <w:rPr>
                <w:lang w:eastAsia="ru-RU"/>
              </w:rPr>
            </w:pPr>
            <w:r>
              <w:rPr>
                <w:color w:val="000000"/>
                <w:lang w:eastAsia="ru-RU"/>
              </w:rPr>
              <w:t>Вихідні, святкові цілодобово</w:t>
            </w:r>
          </w:p>
        </w:tc>
      </w:tr>
      <w:tr>
        <w:trPr>
          <w:trHeight w:val="1975"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val="ru-RU" w:eastAsia="ru-RU"/>
              </w:rPr>
            </w:pPr>
            <w:r>
              <w:rPr>
                <w:lang w:val="ru-RU" w:eastAsia="ru-RU"/>
              </w:rPr>
              <w:t>18</w:t>
            </w:r>
          </w:p>
        </w:tc>
        <w:tc>
          <w:tcPr>
            <w:tcW w:w="2981" w:type="dxa"/>
            <w:tcBorders/>
            <w:tcMar>
              <w:top w:w="55" w:type="dxa"/>
              <w:bottom w:w="55" w:type="dxa"/>
            </w:tcMar>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rPr>
            </w:pPr>
            <w:r>
              <w:rPr>
                <w:sz w:val="23"/>
                <w:szCs w:val="23"/>
              </w:rPr>
              <w:t xml:space="preserve">м. Тернопіль, </w:t>
            </w:r>
          </w:p>
          <w:p>
            <w:pPr>
              <w:pStyle w:val="Normal"/>
              <w:ind w:right="141" w:hanging="0"/>
              <w:jc w:val="both"/>
              <w:rPr>
                <w:sz w:val="23"/>
                <w:szCs w:val="23"/>
              </w:rPr>
            </w:pPr>
            <w:r>
              <w:rPr>
                <w:sz w:val="23"/>
                <w:szCs w:val="23"/>
              </w:rPr>
              <w:t>Майдан Волі, 3</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18.00-07.30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17.00-07.30</w:t>
            </w:r>
          </w:p>
          <w:p>
            <w:pPr>
              <w:pStyle w:val="Normal"/>
              <w:jc w:val="center"/>
              <w:rPr>
                <w:lang w:eastAsia="ru-RU"/>
              </w:rPr>
            </w:pPr>
            <w:r>
              <w:rPr>
                <w:color w:val="000000"/>
                <w:lang w:eastAsia="ru-RU"/>
              </w:rPr>
              <w:t>Вихідні, святкові: цілодобово</w:t>
            </w:r>
          </w:p>
        </w:tc>
      </w:tr>
      <w:tr>
        <w:trPr>
          <w:trHeight w:val="2268" w:hRule="exact"/>
        </w:trPr>
        <w:tc>
          <w:tcPr>
            <w:tcW w:w="535" w:type="dxa"/>
            <w:tcBorders>
              <w:top w:val="single" w:sz="4" w:space="0" w:color="000000"/>
              <w:left w:val="single" w:sz="4" w:space="0" w:color="000000"/>
              <w:bottom w:val="single" w:sz="4" w:space="0" w:color="000000"/>
              <w:right w:val="single" w:sz="4" w:space="0" w:color="000000"/>
            </w:tcBorders>
          </w:tcPr>
          <w:p>
            <w:pPr>
              <w:pStyle w:val="Normal"/>
              <w:rPr>
                <w:lang w:eastAsia="ru-RU"/>
              </w:rPr>
            </w:pPr>
            <w:r>
              <w:rPr>
                <w:lang w:val="en-US" w:eastAsia="ru-RU"/>
              </w:rPr>
              <w:t>19</w:t>
            </w:r>
          </w:p>
        </w:tc>
        <w:tc>
          <w:tcPr>
            <w:tcW w:w="2981" w:type="dxa"/>
            <w:tcBorders>
              <w:top w:val="single" w:sz="4" w:space="0" w:color="000000"/>
              <w:left w:val="single" w:sz="4" w:space="0" w:color="000000"/>
              <w:bottom w:val="single" w:sz="4" w:space="0" w:color="000000"/>
              <w:right w:val="single" w:sz="4" w:space="0" w:color="000000"/>
            </w:tcBorders>
          </w:tcPr>
          <w:p>
            <w:pPr>
              <w:pStyle w:val="Normal"/>
              <w:ind w:right="141" w:hanging="0"/>
              <w:rPr>
                <w:sz w:val="23"/>
                <w:szCs w:val="23"/>
              </w:rPr>
            </w:pPr>
            <w:r>
              <w:rPr>
                <w:sz w:val="23"/>
                <w:szCs w:val="23"/>
              </w:rPr>
              <w:t>Головне управління пенсійного фонду України в Тернопільській області (адмінбудівля)</w:t>
            </w:r>
          </w:p>
        </w:tc>
        <w:tc>
          <w:tcPr>
            <w:tcW w:w="3119" w:type="dxa"/>
            <w:tcBorders>
              <w:top w:val="single" w:sz="4" w:space="0" w:color="000000"/>
              <w:left w:val="single" w:sz="4" w:space="0" w:color="000000"/>
              <w:bottom w:val="single" w:sz="4" w:space="0" w:color="000000"/>
              <w:right w:val="single" w:sz="4" w:space="0" w:color="000000"/>
            </w:tcBorders>
          </w:tcPr>
          <w:p>
            <w:pPr>
              <w:pStyle w:val="Normal"/>
              <w:ind w:right="141" w:hanging="0"/>
              <w:jc w:val="both"/>
              <w:rPr>
                <w:sz w:val="23"/>
                <w:szCs w:val="23"/>
                <w:lang w:val="en-US"/>
              </w:rPr>
            </w:pPr>
            <w:r>
              <w:rPr>
                <w:sz w:val="23"/>
                <w:szCs w:val="23"/>
              </w:rPr>
              <w:t>м. Тернопіль,</w:t>
            </w:r>
          </w:p>
          <w:p>
            <w:pPr>
              <w:pStyle w:val="Normal"/>
              <w:ind w:right="141" w:hanging="0"/>
              <w:jc w:val="both"/>
              <w:rPr>
                <w:sz w:val="23"/>
                <w:szCs w:val="23"/>
              </w:rPr>
            </w:pPr>
            <w:r>
              <w:rPr>
                <w:sz w:val="23"/>
                <w:szCs w:val="23"/>
              </w:rPr>
              <w:t>вул. Лисенка, 1</w:t>
            </w:r>
          </w:p>
        </w:tc>
        <w:tc>
          <w:tcPr>
            <w:tcW w:w="3118"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uto" w:line="252"/>
              <w:ind w:left="79" w:hanging="0"/>
              <w:jc w:val="center"/>
              <w:rPr>
                <w:color w:val="000000"/>
                <w:lang w:eastAsia="ru-RU"/>
              </w:rPr>
            </w:pPr>
            <w:r>
              <w:rPr>
                <w:color w:val="000000"/>
                <w:lang w:eastAsia="ru-RU"/>
              </w:rPr>
              <w:t>Робочі 18.00-07.30</w:t>
            </w:r>
          </w:p>
          <w:p>
            <w:pPr>
              <w:pStyle w:val="Normal"/>
              <w:suppressAutoHyphens w:val="false"/>
              <w:snapToGrid w:val="false"/>
              <w:spacing w:lineRule="auto" w:line="252"/>
              <w:ind w:left="79" w:hanging="0"/>
              <w:jc w:val="center"/>
              <w:rPr>
                <w:color w:val="000000"/>
                <w:lang w:eastAsia="ru-RU"/>
              </w:rPr>
            </w:pPr>
            <w:r>
              <w:rPr>
                <w:color w:val="000000"/>
                <w:lang w:eastAsia="ru-RU"/>
              </w:rPr>
              <w:t xml:space="preserve">Передвихідні, </w:t>
            </w:r>
          </w:p>
          <w:p>
            <w:pPr>
              <w:pStyle w:val="Normal"/>
              <w:suppressAutoHyphens w:val="false"/>
              <w:snapToGrid w:val="false"/>
              <w:spacing w:lineRule="auto" w:line="252"/>
              <w:ind w:left="79" w:hanging="0"/>
              <w:jc w:val="center"/>
              <w:rPr>
                <w:color w:val="000000"/>
                <w:lang w:eastAsia="ru-RU"/>
              </w:rPr>
            </w:pPr>
            <w:r>
              <w:rPr>
                <w:color w:val="000000"/>
                <w:lang w:eastAsia="ru-RU"/>
              </w:rPr>
              <w:t>передсвяткові 17.00-07.30</w:t>
            </w:r>
          </w:p>
          <w:p>
            <w:pPr>
              <w:pStyle w:val="Normal"/>
              <w:suppressAutoHyphens w:val="false"/>
              <w:snapToGrid w:val="false"/>
              <w:spacing w:lineRule="auto" w:line="252"/>
              <w:jc w:val="center"/>
              <w:rPr>
                <w:color w:val="000000"/>
                <w:lang w:eastAsia="ru-RU"/>
              </w:rPr>
            </w:pPr>
            <w:r>
              <w:rPr>
                <w:color w:val="000000"/>
                <w:lang w:eastAsia="ru-RU"/>
              </w:rPr>
              <w:t xml:space="preserve">Вихідні, святкові: </w:t>
            </w:r>
          </w:p>
          <w:p>
            <w:pPr>
              <w:pStyle w:val="Normal"/>
              <w:suppressAutoHyphens w:val="false"/>
              <w:snapToGrid w:val="false"/>
              <w:spacing w:lineRule="auto" w:line="252"/>
              <w:jc w:val="center"/>
              <w:rPr>
                <w:color w:val="000000"/>
                <w:lang w:eastAsia="ru-RU"/>
              </w:rPr>
            </w:pPr>
            <w:r>
              <w:rPr>
                <w:color w:val="000000"/>
                <w:lang w:eastAsia="ru-RU"/>
              </w:rPr>
              <w:t>цілодобово</w:t>
            </w:r>
          </w:p>
        </w:tc>
      </w:tr>
    </w:tbl>
    <w:p>
      <w:pPr>
        <w:pStyle w:val="Normal"/>
        <w:ind w:firstLine="436"/>
        <w:jc w:val="both"/>
        <w:rPr>
          <w:bCs/>
        </w:rPr>
      </w:pPr>
      <w:r>
        <w:rPr>
          <w:bCs/>
        </w:rPr>
      </w:r>
    </w:p>
    <w:p>
      <w:pPr>
        <w:pStyle w:val="Normal"/>
        <w:rPr>
          <w:sz w:val="28"/>
          <w:szCs w:val="28"/>
        </w:rPr>
      </w:pPr>
      <w:r>
        <w:rPr>
          <w:sz w:val="28"/>
          <w:szCs w:val="28"/>
        </w:rPr>
      </w:r>
    </w:p>
    <w:p>
      <w:pPr>
        <w:pStyle w:val="Normal"/>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4956" w:right="423" w:firstLine="708"/>
        <w:jc w:val="center"/>
        <w:rPr>
          <w:b/>
          <w:b/>
        </w:rPr>
      </w:pPr>
      <w:r>
        <w:rPr>
          <w:b/>
          <w:color w:val="000000" w:themeColor="text1"/>
          <w:lang w:eastAsia="en-US"/>
        </w:rPr>
        <w:tab/>
        <w:tab/>
        <w:tab/>
      </w:r>
    </w:p>
    <w:sectPr>
      <w:headerReference w:type="default" r:id="rId6"/>
      <w:footerReference w:type="default" r:id="rId7"/>
      <w:type w:val="nextPage"/>
      <w:pgSz w:w="11906" w:h="16838"/>
      <w:pgMar w:left="1620" w:right="567" w:header="719" w:top="950" w:footer="539" w:bottom="77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Arial Narrow">
    <w:charset w:val="cc"/>
    <w:family w:val="roman"/>
    <w:pitch w:val="variable"/>
  </w:font>
  <w:font w:name="Verdana">
    <w:charset w:val="cc"/>
    <w:family w:val="roman"/>
    <w:pitch w:val="variable"/>
  </w:font>
  <w:font w:name="Tahoma">
    <w:charset w:val="cc"/>
    <w:family w:val="roman"/>
    <w:pitch w:val="variable"/>
  </w:font>
  <w:font w:name="Lucida Sans Unicode">
    <w:charset w:val="cc"/>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6"/>
      <w:rPr/>
    </w:pPr>
    <w:r>
      <w:rPr/>
    </w:r>
    <w:r>
      <mc:AlternateContent>
        <mc:Choice Requires="wps">
          <w:drawing>
            <wp:anchor behindDoc="0" distT="0" distB="0" distL="114300" distR="114300" simplePos="0" locked="0" layoutInCell="1" allowOverlap="1" relativeHeight="21">
              <wp:simplePos x="0" y="0"/>
              <wp:positionH relativeFrom="column">
                <wp:align>center</wp:align>
              </wp:positionH>
              <wp:positionV relativeFrom="paragraph">
                <wp:posOffset>635</wp:posOffset>
              </wp:positionV>
              <wp:extent cx="208915" cy="156210"/>
              <wp:effectExtent l="0" t="0" r="0" b="0"/>
              <wp:wrapSquare wrapText="bothSides"/>
              <wp:docPr id="1" name=""/>
              <a:graphic xmlns:a="http://schemas.openxmlformats.org/drawingml/2006/main">
                <a:graphicData uri="http://schemas.microsoft.com/office/word/2010/wordprocessingShape">
                  <wps:wsp>
                    <wps:cNvSpPr txBox="1"/>
                    <wps:spPr>
                      <a:xfrm>
                        <a:off x="0" y="0"/>
                        <a:ext cx="208915" cy="156210"/>
                      </a:xfrm>
                      <a:prstGeom prst="rect"/>
                      <a:solidFill>
                        <a:srgbClr val="FFFFFF"/>
                      </a:solidFill>
                    </wps:spPr>
                    <wps:txbx>
                      <w:txbxContent>
                        <w:p>
                          <w:pPr>
                            <w:pStyle w:val="116"/>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22</w:t>
                          </w:r>
                          <w:r>
                            <w:rPr>
                              <w:rStyle w:val="Pagenumber"/>
                              <w:color w:val="333333"/>
                            </w:rPr>
                            <w:fldChar w:fldCharType="end"/>
                          </w:r>
                        </w:p>
                      </w:txbxContent>
                    </wps:txbx>
                    <wps:bodyPr anchor="t" lIns="91440" tIns="45720" rIns="91440" bIns="45720">
                      <a:noAutofit/>
                    </wps:bodyPr>
                  </wps:wsp>
                </a:graphicData>
              </a:graphic>
            </wp:anchor>
          </w:drawing>
        </mc:Choice>
        <mc:Fallback>
          <w:pict>
            <v:rect fillcolor="#FFFFFF" stroked="f" strokeweight="0pt" style="position:absolute;rotation:0;width:16.45pt;height:12.3pt;mso-wrap-distance-left:9pt;mso-wrap-distance-right:9pt;mso-wrap-distance-top:0pt;mso-wrap-distance-bottom:0pt;margin-top:0.05pt;mso-position-vertical-relative:text;margin-left:234.3pt;mso-position-horizontal:center;mso-position-horizontal-relative:text">
              <v:textbox>
                <w:txbxContent>
                  <w:p>
                    <w:pPr>
                      <w:pStyle w:val="116"/>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22</w:t>
                    </w:r>
                    <w:r>
                      <w:rPr>
                        <w:rStyle w:val="Pagenumber"/>
                        <w:color w:val="333333"/>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3"/>
      <w:numFmt w:val="bullet"/>
      <w:lvlText w:val="-"/>
      <w:lvlJc w:val="left"/>
      <w:pPr>
        <w:ind w:left="720" w:hanging="360"/>
      </w:pPr>
      <w:rPr>
        <w:rFonts w:ascii="Verdana" w:hAnsi="Verdana" w:cs="Verdana"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Strong" w:uiPriority="0" w:semiHidden="0" w:unhideWhenUsed="0" w:qFormat="1"/>
    <w:lsdException w:name="Emphasis" w:uiPriority="0" w:semiHidden="0" w:unhideWhenUsed="0" w:qFormat="1"/>
    <w:lsdException w:name="Normal (Web)" w:uiPriority="0" w:qFormat="1"/>
    <w:lsdException w:name="HTML Preformatted" w:uiPriority="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784e"/>
    <w:pPr>
      <w:widowControl w:val="false"/>
      <w:suppressAutoHyphens w:val="true"/>
      <w:bidi w:val="0"/>
      <w:spacing w:before="0" w:after="0"/>
      <w:jc w:val="left"/>
    </w:pPr>
    <w:rPr>
      <w:rFonts w:ascii="Times New Roman" w:hAnsi="Times New Roman" w:eastAsia="Andale Sans UI" w:cs="Times New Roman"/>
      <w:color w:val="auto"/>
      <w:kern w:val="2"/>
      <w:sz w:val="24"/>
      <w:szCs w:val="24"/>
      <w:lang w:val="de-DE" w:eastAsia="fa-IR" w:bidi="fa-IR"/>
    </w:rPr>
  </w:style>
  <w:style w:type="paragraph" w:styleId="1" w:customStyle="1">
    <w:name w:val="Heading 1"/>
    <w:basedOn w:val="Normal"/>
    <w:link w:val="1"/>
    <w:qFormat/>
    <w:rsid w:val="0086497a"/>
    <w:pPr>
      <w:widowControl/>
      <w:suppressAutoHyphens w:val="false"/>
      <w:spacing w:beforeAutospacing="1" w:afterAutospacing="1"/>
      <w:outlineLvl w:val="0"/>
    </w:pPr>
    <w:rPr>
      <w:rFonts w:eastAsia="Times New Roman"/>
      <w:b/>
      <w:bCs/>
      <w:sz w:val="48"/>
      <w:szCs w:val="48"/>
      <w:lang w:bidi="ar-SA"/>
    </w:rPr>
  </w:style>
  <w:style w:type="paragraph" w:styleId="2" w:customStyle="1">
    <w:name w:val="Heading 2"/>
    <w:basedOn w:val="Normal"/>
    <w:next w:val="Normal"/>
    <w:qFormat/>
    <w:rsid w:val="00dd2f7f"/>
    <w:pPr>
      <w:keepNext w:val="true"/>
      <w:numPr>
        <w:ilvl w:val="1"/>
        <w:numId w:val="1"/>
      </w:numPr>
      <w:jc w:val="right"/>
      <w:outlineLvl w:val="1"/>
    </w:pPr>
    <w:rPr>
      <w:b/>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1"/>
    <w:qFormat/>
    <w:rsid w:val="00d4784e"/>
    <w:rPr>
      <w:rFonts w:ascii="Times New Roman" w:hAnsi="Times New Roman" w:eastAsia="Andale Sans UI" w:cs="Times New Roman"/>
      <w:b/>
      <w:kern w:val="2"/>
      <w:sz w:val="24"/>
      <w:szCs w:val="24"/>
      <w:lang w:val="de-DE" w:eastAsia="fa-IR" w:bidi="fa-IR"/>
    </w:rPr>
  </w:style>
  <w:style w:type="character" w:styleId="21" w:customStyle="1">
    <w:name w:val="Заголовок 2 Знак"/>
    <w:basedOn w:val="DefaultParagraphFont"/>
    <w:link w:val="21"/>
    <w:qFormat/>
    <w:rsid w:val="00d4784e"/>
    <w:rPr>
      <w:rFonts w:ascii="Times New Roman" w:hAnsi="Times New Roman" w:eastAsia="Andale Sans UI" w:cs="Times New Roman"/>
      <w:b/>
      <w:kern w:val="2"/>
      <w:sz w:val="24"/>
      <w:szCs w:val="24"/>
      <w:lang w:val="de-DE" w:eastAsia="fa-IR" w:bidi="fa-IR"/>
    </w:rPr>
  </w:style>
  <w:style w:type="character" w:styleId="3" w:customStyle="1">
    <w:name w:val="Заголовок 3 Знак"/>
    <w:basedOn w:val="DefaultParagraphFont"/>
    <w:link w:val="31"/>
    <w:qFormat/>
    <w:rsid w:val="00d4784e"/>
    <w:rPr>
      <w:rFonts w:ascii="Arial" w:hAnsi="Arial" w:eastAsia="Andale Sans UI" w:cs="Arial"/>
      <w:b/>
      <w:bCs/>
      <w:kern w:val="2"/>
      <w:sz w:val="26"/>
      <w:szCs w:val="26"/>
      <w:lang w:val="de-DE" w:eastAsia="fa-IR" w:bidi="fa-IR"/>
    </w:rPr>
  </w:style>
  <w:style w:type="character" w:styleId="4" w:customStyle="1">
    <w:name w:val="Заголовок 4 Знак"/>
    <w:basedOn w:val="DefaultParagraphFont"/>
    <w:link w:val="41"/>
    <w:qFormat/>
    <w:rsid w:val="00d4784e"/>
    <w:rPr>
      <w:rFonts w:ascii="Arial" w:hAnsi="Arial" w:eastAsia="Andale Sans UI" w:cs="Arial"/>
      <w:b/>
      <w:kern w:val="2"/>
      <w:sz w:val="24"/>
      <w:szCs w:val="24"/>
      <w:lang w:val="de-DE" w:eastAsia="fa-IR" w:bidi="fa-IR"/>
    </w:rPr>
  </w:style>
  <w:style w:type="character" w:styleId="6" w:customStyle="1">
    <w:name w:val="Заголовок 6 Знак"/>
    <w:basedOn w:val="DefaultParagraphFont"/>
    <w:link w:val="61"/>
    <w:qFormat/>
    <w:rsid w:val="00d4784e"/>
    <w:rPr>
      <w:rFonts w:ascii="Times New Roman" w:hAnsi="Times New Roman" w:eastAsia="Andale Sans UI" w:cs="Times New Roman"/>
      <w:b/>
      <w:kern w:val="2"/>
      <w:sz w:val="32"/>
      <w:szCs w:val="24"/>
      <w:lang w:val="de-DE" w:eastAsia="fa-IR" w:bidi="fa-IR"/>
    </w:rPr>
  </w:style>
  <w:style w:type="character" w:styleId="7" w:customStyle="1">
    <w:name w:val="Заголовок 7 Знак"/>
    <w:basedOn w:val="DefaultParagraphFont"/>
    <w:link w:val="71"/>
    <w:qFormat/>
    <w:rsid w:val="00d4784e"/>
    <w:rPr>
      <w:rFonts w:ascii="Times New Roman" w:hAnsi="Times New Roman" w:eastAsia="Andale Sans UI" w:cs="Times New Roman"/>
      <w:kern w:val="2"/>
      <w:sz w:val="24"/>
      <w:szCs w:val="24"/>
      <w:lang w:val="de-DE" w:eastAsia="fa-IR" w:bidi="fa-IR"/>
    </w:rPr>
  </w:style>
  <w:style w:type="character" w:styleId="WW8Num2z0" w:customStyle="1">
    <w:name w:val="WW8Num2z0"/>
    <w:qFormat/>
    <w:rsid w:val="00d4784e"/>
    <w:rPr>
      <w:bCs/>
      <w:sz w:val="27"/>
      <w:szCs w:val="27"/>
    </w:rPr>
  </w:style>
  <w:style w:type="character" w:styleId="WW8Num4z0" w:customStyle="1">
    <w:name w:val="WW8Num4z0"/>
    <w:qFormat/>
    <w:rsid w:val="00d4784e"/>
    <w:rPr>
      <w:rFonts w:ascii="Times New Roman" w:hAnsi="Times New Roman" w:eastAsia="Times New Roman" w:cs="Times New Roman"/>
    </w:rPr>
  </w:style>
  <w:style w:type="character" w:styleId="WW8Num4z1" w:customStyle="1">
    <w:name w:val="WW8Num4z1"/>
    <w:qFormat/>
    <w:rsid w:val="00d4784e"/>
    <w:rPr>
      <w:rFonts w:ascii="Courier New" w:hAnsi="Courier New" w:cs="Courier New"/>
      <w:iCs/>
      <w:color w:val="000000"/>
      <w:spacing w:val="-3"/>
      <w:sz w:val="24"/>
      <w:szCs w:val="24"/>
    </w:rPr>
  </w:style>
  <w:style w:type="character" w:styleId="WW8Num4z2" w:customStyle="1">
    <w:name w:val="WW8Num4z2"/>
    <w:qFormat/>
    <w:rsid w:val="00d4784e"/>
    <w:rPr>
      <w:rFonts w:ascii="Wingdings" w:hAnsi="Wingdings" w:cs="Wingdings"/>
    </w:rPr>
  </w:style>
  <w:style w:type="character" w:styleId="WW8Num4z3" w:customStyle="1">
    <w:name w:val="WW8Num4z3"/>
    <w:qFormat/>
    <w:rsid w:val="00d4784e"/>
    <w:rPr>
      <w:rFonts w:ascii="Symbol" w:hAnsi="Symbol" w:cs="Symbol"/>
    </w:rPr>
  </w:style>
  <w:style w:type="character" w:styleId="WW8Num1z0" w:customStyle="1">
    <w:name w:val="WW8Num1z0"/>
    <w:qFormat/>
    <w:rsid w:val="00d4784e"/>
    <w:rPr/>
  </w:style>
  <w:style w:type="character" w:styleId="WW8Num1z1" w:customStyle="1">
    <w:name w:val="WW8Num1z1"/>
    <w:qFormat/>
    <w:rsid w:val="00d4784e"/>
    <w:rPr/>
  </w:style>
  <w:style w:type="character" w:styleId="WW8Num1z2" w:customStyle="1">
    <w:name w:val="WW8Num1z2"/>
    <w:qFormat/>
    <w:rsid w:val="00d4784e"/>
    <w:rPr/>
  </w:style>
  <w:style w:type="character" w:styleId="WW8Num1z3" w:customStyle="1">
    <w:name w:val="WW8Num1z3"/>
    <w:qFormat/>
    <w:rsid w:val="00d4784e"/>
    <w:rPr/>
  </w:style>
  <w:style w:type="character" w:styleId="WW8Num1z4" w:customStyle="1">
    <w:name w:val="WW8Num1z4"/>
    <w:qFormat/>
    <w:rsid w:val="00d4784e"/>
    <w:rPr/>
  </w:style>
  <w:style w:type="character" w:styleId="WW8Num1z5" w:customStyle="1">
    <w:name w:val="WW8Num1z5"/>
    <w:qFormat/>
    <w:rsid w:val="00d4784e"/>
    <w:rPr/>
  </w:style>
  <w:style w:type="character" w:styleId="WW8Num1z6" w:customStyle="1">
    <w:name w:val="WW8Num1z6"/>
    <w:qFormat/>
    <w:rsid w:val="00d4784e"/>
    <w:rPr/>
  </w:style>
  <w:style w:type="character" w:styleId="WW8Num1z7" w:customStyle="1">
    <w:name w:val="WW8Num1z7"/>
    <w:qFormat/>
    <w:rsid w:val="00d4784e"/>
    <w:rPr/>
  </w:style>
  <w:style w:type="character" w:styleId="WW8Num1z8" w:customStyle="1">
    <w:name w:val="WW8Num1z8"/>
    <w:qFormat/>
    <w:rsid w:val="00d4784e"/>
    <w:rPr/>
  </w:style>
  <w:style w:type="character" w:styleId="WW8Num2z1" w:customStyle="1">
    <w:name w:val="WW8Num2z1"/>
    <w:qFormat/>
    <w:rsid w:val="00d4784e"/>
    <w:rPr/>
  </w:style>
  <w:style w:type="character" w:styleId="WW8Num2z2" w:customStyle="1">
    <w:name w:val="WW8Num2z2"/>
    <w:qFormat/>
    <w:rsid w:val="00d4784e"/>
    <w:rPr/>
  </w:style>
  <w:style w:type="character" w:styleId="WW8Num2z3" w:customStyle="1">
    <w:name w:val="WW8Num2z3"/>
    <w:qFormat/>
    <w:rsid w:val="00d4784e"/>
    <w:rPr/>
  </w:style>
  <w:style w:type="character" w:styleId="WW8Num2z4" w:customStyle="1">
    <w:name w:val="WW8Num2z4"/>
    <w:qFormat/>
    <w:rsid w:val="00d4784e"/>
    <w:rPr/>
  </w:style>
  <w:style w:type="character" w:styleId="WW8Num2z5" w:customStyle="1">
    <w:name w:val="WW8Num2z5"/>
    <w:qFormat/>
    <w:rsid w:val="00d4784e"/>
    <w:rPr/>
  </w:style>
  <w:style w:type="character" w:styleId="WW8Num2z6" w:customStyle="1">
    <w:name w:val="WW8Num2z6"/>
    <w:qFormat/>
    <w:rsid w:val="00d4784e"/>
    <w:rPr/>
  </w:style>
  <w:style w:type="character" w:styleId="WW8Num2z7" w:customStyle="1">
    <w:name w:val="WW8Num2z7"/>
    <w:qFormat/>
    <w:rsid w:val="00d4784e"/>
    <w:rPr/>
  </w:style>
  <w:style w:type="character" w:styleId="WW8Num2z8" w:customStyle="1">
    <w:name w:val="WW8Num2z8"/>
    <w:qFormat/>
    <w:rsid w:val="00d4784e"/>
    <w:rPr/>
  </w:style>
  <w:style w:type="character" w:styleId="WW8Num3z0" w:customStyle="1">
    <w:name w:val="WW8Num3z0"/>
    <w:qFormat/>
    <w:rsid w:val="00d4784e"/>
    <w:rPr/>
  </w:style>
  <w:style w:type="character" w:styleId="WW8Num3z1" w:customStyle="1">
    <w:name w:val="WW8Num3z1"/>
    <w:qFormat/>
    <w:rsid w:val="00d4784e"/>
    <w:rPr/>
  </w:style>
  <w:style w:type="character" w:styleId="WW8Num3z2" w:customStyle="1">
    <w:name w:val="WW8Num3z2"/>
    <w:qFormat/>
    <w:rsid w:val="00d4784e"/>
    <w:rPr/>
  </w:style>
  <w:style w:type="character" w:styleId="WW8Num3z3" w:customStyle="1">
    <w:name w:val="WW8Num3z3"/>
    <w:qFormat/>
    <w:rsid w:val="00d4784e"/>
    <w:rPr/>
  </w:style>
  <w:style w:type="character" w:styleId="WW8Num3z4" w:customStyle="1">
    <w:name w:val="WW8Num3z4"/>
    <w:qFormat/>
    <w:rsid w:val="00d4784e"/>
    <w:rPr/>
  </w:style>
  <w:style w:type="character" w:styleId="WW8Num3z5" w:customStyle="1">
    <w:name w:val="WW8Num3z5"/>
    <w:qFormat/>
    <w:rsid w:val="00d4784e"/>
    <w:rPr/>
  </w:style>
  <w:style w:type="character" w:styleId="WW8Num3z6" w:customStyle="1">
    <w:name w:val="WW8Num3z6"/>
    <w:qFormat/>
    <w:rsid w:val="00d4784e"/>
    <w:rPr/>
  </w:style>
  <w:style w:type="character" w:styleId="WW8Num3z7" w:customStyle="1">
    <w:name w:val="WW8Num3z7"/>
    <w:qFormat/>
    <w:rsid w:val="00d4784e"/>
    <w:rPr/>
  </w:style>
  <w:style w:type="character" w:styleId="WW8Num3z8" w:customStyle="1">
    <w:name w:val="WW8Num3z8"/>
    <w:qFormat/>
    <w:rsid w:val="00d4784e"/>
    <w:rPr/>
  </w:style>
  <w:style w:type="character" w:styleId="WW8Num4z4" w:customStyle="1">
    <w:name w:val="WW8Num4z4"/>
    <w:qFormat/>
    <w:rsid w:val="00d4784e"/>
    <w:rPr/>
  </w:style>
  <w:style w:type="character" w:styleId="WW8Num4z5" w:customStyle="1">
    <w:name w:val="WW8Num4z5"/>
    <w:qFormat/>
    <w:rsid w:val="00d4784e"/>
    <w:rPr/>
  </w:style>
  <w:style w:type="character" w:styleId="WW8Num4z6" w:customStyle="1">
    <w:name w:val="WW8Num4z6"/>
    <w:qFormat/>
    <w:rsid w:val="00d4784e"/>
    <w:rPr/>
  </w:style>
  <w:style w:type="character" w:styleId="WW8Num4z7" w:customStyle="1">
    <w:name w:val="WW8Num4z7"/>
    <w:qFormat/>
    <w:rsid w:val="00d4784e"/>
    <w:rPr/>
  </w:style>
  <w:style w:type="character" w:styleId="WW8Num4z8" w:customStyle="1">
    <w:name w:val="WW8Num4z8"/>
    <w:qFormat/>
    <w:rsid w:val="00d4784e"/>
    <w:rPr/>
  </w:style>
  <w:style w:type="character" w:styleId="12" w:customStyle="1">
    <w:name w:val="Основной шрифт абзаца1"/>
    <w:link w:val="12"/>
    <w:qFormat/>
    <w:rsid w:val="00d4784e"/>
    <w:rPr/>
  </w:style>
  <w:style w:type="character" w:styleId="WW8Num6z0" w:customStyle="1">
    <w:name w:val="WW8Num6z0"/>
    <w:qFormat/>
    <w:rsid w:val="00d4784e"/>
    <w:rPr>
      <w:rFonts w:ascii="Times New Roman" w:hAnsi="Times New Roman" w:eastAsia="Arial" w:cs="Times New Roman"/>
      <w:color w:val="00000A"/>
    </w:rPr>
  </w:style>
  <w:style w:type="character" w:styleId="Style12" w:customStyle="1">
    <w:name w:val="Подзаголовок Знак"/>
    <w:qFormat/>
    <w:rsid w:val="00d4784e"/>
    <w:rPr>
      <w:b/>
      <w:sz w:val="24"/>
      <w:szCs w:val="24"/>
      <w:lang w:val="en-GB" w:eastAsia="ar-SA" w:bidi="ar-SA"/>
    </w:rPr>
  </w:style>
  <w:style w:type="character" w:styleId="13" w:customStyle="1">
    <w:name w:val="Гіперпосилання1"/>
    <w:link w:val="13"/>
    <w:qFormat/>
    <w:rsid w:val="00d4784e"/>
    <w:rPr>
      <w:color w:val="0000FF"/>
      <w:u w:val="single"/>
    </w:rPr>
  </w:style>
  <w:style w:type="character" w:styleId="Style13" w:customStyle="1">
    <w:name w:val="Основний текст Знак"/>
    <w:basedOn w:val="12"/>
    <w:qFormat/>
    <w:rsid w:val="00d4784e"/>
    <w:rPr/>
  </w:style>
  <w:style w:type="character" w:styleId="Style14" w:customStyle="1">
    <w:name w:val="Основной текст Знак"/>
    <w:qFormat/>
    <w:rsid w:val="00d4784e"/>
    <w:rPr>
      <w:lang w:val="uk-UA" w:eastAsia="ar-SA" w:bidi="ar-SA"/>
    </w:rPr>
  </w:style>
  <w:style w:type="character" w:styleId="Rvts0" w:customStyle="1">
    <w:name w:val="rvts0"/>
    <w:qFormat/>
    <w:rsid w:val="00d4784e"/>
    <w:rPr>
      <w:rFonts w:cs="Times New Roman"/>
    </w:rPr>
  </w:style>
  <w:style w:type="character" w:styleId="HTML" w:customStyle="1">
    <w:name w:val="Стандартный HTML Знак"/>
    <w:uiPriority w:val="99"/>
    <w:qFormat/>
    <w:rsid w:val="00d4784e"/>
    <w:rPr>
      <w:rFonts w:ascii="Courier New" w:hAnsi="Courier New" w:cs="Courier New"/>
      <w:color w:val="000000"/>
      <w:sz w:val="18"/>
      <w:szCs w:val="18"/>
      <w:lang w:val="ru-RU" w:eastAsia="ar-SA" w:bidi="ar-SA"/>
    </w:rPr>
  </w:style>
  <w:style w:type="character" w:styleId="Style15" w:customStyle="1">
    <w:name w:val="Название Знак"/>
    <w:qFormat/>
    <w:rsid w:val="00d4784e"/>
    <w:rPr>
      <w:rFonts w:ascii="Arial" w:hAnsi="Arial" w:cs="Arial"/>
      <w:b/>
      <w:sz w:val="18"/>
      <w:lang w:val="uk-UA" w:eastAsia="ar-SA" w:bidi="ar-SA"/>
    </w:rPr>
  </w:style>
  <w:style w:type="character" w:styleId="Strong">
    <w:name w:val="Strong"/>
    <w:qFormat/>
    <w:rsid w:val="00d4784e"/>
    <w:rPr>
      <w:b/>
      <w:bCs/>
    </w:rPr>
  </w:style>
  <w:style w:type="character" w:styleId="Style16" w:customStyle="1">
    <w:name w:val="Нижний колонтитул Знак"/>
    <w:qFormat/>
    <w:rsid w:val="00d4784e"/>
    <w:rPr>
      <w:lang w:val="uk-UA" w:eastAsia="ar-SA" w:bidi="ar-SA"/>
    </w:rPr>
  </w:style>
  <w:style w:type="character" w:styleId="Rvts9" w:customStyle="1">
    <w:name w:val="rvts9"/>
    <w:basedOn w:val="12"/>
    <w:qFormat/>
    <w:rsid w:val="00d4784e"/>
    <w:rPr/>
  </w:style>
  <w:style w:type="character" w:styleId="Appleconvertedspace" w:customStyle="1">
    <w:name w:val="apple-converted-space"/>
    <w:basedOn w:val="12"/>
    <w:qFormat/>
    <w:rsid w:val="00d4784e"/>
    <w:rPr/>
  </w:style>
  <w:style w:type="character" w:styleId="Rvts82" w:customStyle="1">
    <w:name w:val="rvts82"/>
    <w:basedOn w:val="12"/>
    <w:qFormat/>
    <w:rsid w:val="00d4784e"/>
    <w:rPr/>
  </w:style>
  <w:style w:type="character" w:styleId="14" w:customStyle="1">
    <w:name w:val="Виділення1"/>
    <w:link w:val="14"/>
    <w:qFormat/>
    <w:rsid w:val="00d4784e"/>
    <w:rPr>
      <w:rFonts w:cs="Times New Roman"/>
      <w:i/>
      <w:iCs/>
    </w:rPr>
  </w:style>
  <w:style w:type="character" w:styleId="Style17" w:customStyle="1">
    <w:name w:val="Текст концевой сноски Знак"/>
    <w:qFormat/>
    <w:rsid w:val="00d4784e"/>
    <w:rPr>
      <w:lang w:val="uk-UA"/>
    </w:rPr>
  </w:style>
  <w:style w:type="character" w:styleId="Style18" w:customStyle="1">
    <w:name w:val="Символы концевой сноски"/>
    <w:qFormat/>
    <w:rsid w:val="00d4784e"/>
    <w:rPr>
      <w:vertAlign w:val="superscript"/>
    </w:rPr>
  </w:style>
  <w:style w:type="character" w:styleId="Style19" w:customStyle="1">
    <w:name w:val="Текст сноски Знак"/>
    <w:qFormat/>
    <w:rsid w:val="00d4784e"/>
    <w:rPr>
      <w:lang w:val="uk-UA"/>
    </w:rPr>
  </w:style>
  <w:style w:type="character" w:styleId="Style20" w:customStyle="1">
    <w:name w:val="Символ сноски"/>
    <w:qFormat/>
    <w:rsid w:val="00d4784e"/>
    <w:rPr>
      <w:vertAlign w:val="superscript"/>
    </w:rPr>
  </w:style>
  <w:style w:type="character" w:styleId="Style21" w:customStyle="1">
    <w:name w:val="Обычный (веб) Знак"/>
    <w:qFormat/>
    <w:rsid w:val="00d4784e"/>
    <w:rPr>
      <w:sz w:val="24"/>
      <w:szCs w:val="24"/>
      <w:lang w:val="ru-RU" w:eastAsia="ar-SA" w:bidi="ar-SA"/>
    </w:rPr>
  </w:style>
  <w:style w:type="character" w:styleId="22" w:customStyle="1">
    <w:name w:val="Основной текст с отступом 2 Знак"/>
    <w:link w:val="2"/>
    <w:qFormat/>
    <w:rsid w:val="00d4784e"/>
    <w:rPr/>
  </w:style>
  <w:style w:type="character" w:styleId="Style22" w:customStyle="1">
    <w:name w:val="Символ нумерации"/>
    <w:qFormat/>
    <w:rsid w:val="00d4784e"/>
    <w:rPr/>
  </w:style>
  <w:style w:type="character" w:styleId="15" w:customStyle="1">
    <w:name w:val="Основной текст Знак1"/>
    <w:basedOn w:val="DefaultParagraphFont"/>
    <w:link w:val="15"/>
    <w:qFormat/>
    <w:rsid w:val="00d4784e"/>
    <w:rPr>
      <w:rFonts w:ascii="Times New Roman" w:hAnsi="Times New Roman" w:eastAsia="Andale Sans UI" w:cs="Times New Roman"/>
      <w:kern w:val="2"/>
      <w:sz w:val="24"/>
      <w:szCs w:val="24"/>
      <w:lang w:val="de-DE" w:eastAsia="fa-IR" w:bidi="fa-IR"/>
    </w:rPr>
  </w:style>
  <w:style w:type="character" w:styleId="16" w:customStyle="1">
    <w:name w:val="Название Знак1"/>
    <w:basedOn w:val="DefaultParagraphFont"/>
    <w:link w:val="13"/>
    <w:qFormat/>
    <w:rsid w:val="00d4784e"/>
    <w:rPr>
      <w:rFonts w:ascii="Arial" w:hAnsi="Arial" w:eastAsia="Andale Sans UI" w:cs="Arial"/>
      <w:b/>
      <w:bCs/>
      <w:kern w:val="2"/>
      <w:sz w:val="18"/>
      <w:szCs w:val="36"/>
      <w:lang w:val="de-DE" w:eastAsia="fa-IR" w:bidi="fa-IR"/>
    </w:rPr>
  </w:style>
  <w:style w:type="character" w:styleId="Style23" w:customStyle="1">
    <w:name w:val="Назва Знак"/>
    <w:basedOn w:val="DefaultParagraphFont"/>
    <w:qFormat/>
    <w:rsid w:val="00d4784e"/>
    <w:rPr>
      <w:rFonts w:ascii="Times New Roman" w:hAnsi="Times New Roman" w:eastAsia="Andale Sans UI" w:cs="Times New Roman"/>
      <w:b/>
      <w:i/>
      <w:iCs/>
      <w:kern w:val="2"/>
      <w:sz w:val="24"/>
      <w:szCs w:val="24"/>
      <w:lang w:val="en-GB" w:eastAsia="fa-IR" w:bidi="fa-IR"/>
    </w:rPr>
  </w:style>
  <w:style w:type="character" w:styleId="Style24" w:customStyle="1">
    <w:name w:val="Верхний колонтитул Знак"/>
    <w:basedOn w:val="DefaultParagraphFont"/>
    <w:qFormat/>
    <w:rsid w:val="00d4784e"/>
    <w:rPr>
      <w:rFonts w:ascii="Times New Roman" w:hAnsi="Times New Roman" w:eastAsia="Andale Sans UI" w:cs="Times New Roman"/>
      <w:kern w:val="2"/>
      <w:sz w:val="24"/>
      <w:szCs w:val="24"/>
      <w:lang w:val="de-DE" w:eastAsia="fa-IR" w:bidi="fa-IR"/>
    </w:rPr>
  </w:style>
  <w:style w:type="character" w:styleId="Style25" w:customStyle="1">
    <w:name w:val="Підзаголовок Знак"/>
    <w:basedOn w:val="DefaultParagraphFont"/>
    <w:qFormat/>
    <w:rsid w:val="00d4784e"/>
    <w:rPr>
      <w:rFonts w:ascii="Times New Roman" w:hAnsi="Times New Roman" w:eastAsia="Andale Sans UI" w:cs="Times New Roman"/>
      <w:kern w:val="2"/>
      <w:sz w:val="24"/>
      <w:szCs w:val="24"/>
      <w:lang w:val="de-DE" w:eastAsia="fa-IR" w:bidi="fa-IR"/>
    </w:rPr>
  </w:style>
  <w:style w:type="character" w:styleId="Style26" w:customStyle="1">
    <w:name w:val="Основной текст с отступом Знак"/>
    <w:basedOn w:val="DefaultParagraphFont"/>
    <w:qFormat/>
    <w:rsid w:val="00d4784e"/>
    <w:rPr>
      <w:rFonts w:ascii="Times New Roman" w:hAnsi="Times New Roman" w:eastAsia="Andale Sans UI" w:cs="Times New Roman"/>
      <w:kern w:val="2"/>
      <w:sz w:val="24"/>
      <w:szCs w:val="24"/>
      <w:lang w:val="de-DE" w:eastAsia="fa-IR" w:bidi="fa-IR"/>
    </w:rPr>
  </w:style>
  <w:style w:type="character" w:styleId="HTML1" w:customStyle="1">
    <w:name w:val="Стандартный HTML Знак1"/>
    <w:basedOn w:val="DefaultParagraphFont"/>
    <w:qFormat/>
    <w:rsid w:val="00d4784e"/>
    <w:rPr>
      <w:rFonts w:ascii="Courier New" w:hAnsi="Courier New" w:eastAsia="Andale Sans UI" w:cs="Century"/>
      <w:color w:val="000000"/>
      <w:kern w:val="2"/>
      <w:sz w:val="18"/>
      <w:szCs w:val="18"/>
      <w:lang w:val="de-DE" w:eastAsia="fa-IR" w:bidi="fa-IR"/>
    </w:rPr>
  </w:style>
  <w:style w:type="character" w:styleId="WW8Num14z3" w:customStyle="1">
    <w:name w:val="WW8Num14z3"/>
    <w:qFormat/>
    <w:rsid w:val="0005412b"/>
    <w:rPr>
      <w:rFonts w:ascii="Symbol" w:hAnsi="Symbol" w:cs="Symbol"/>
    </w:rPr>
  </w:style>
  <w:style w:type="character" w:styleId="Style27" w:customStyle="1">
    <w:name w:val="Основной текст_"/>
    <w:qFormat/>
    <w:rsid w:val="00280eaa"/>
    <w:rPr>
      <w:rFonts w:ascii="Times New Roman" w:hAnsi="Times New Roman" w:cs="Times New Roman"/>
      <w:sz w:val="19"/>
      <w:szCs w:val="19"/>
      <w:u w:val="none"/>
    </w:rPr>
  </w:style>
  <w:style w:type="character" w:styleId="31pt" w:customStyle="1">
    <w:name w:val="Заголовок №3 + Интервал 1 pt"/>
    <w:basedOn w:val="DefaultParagraphFont"/>
    <w:qFormat/>
    <w:rsid w:val="00280eaa"/>
    <w:rPr>
      <w:rFonts w:ascii="Times New Roman" w:hAnsi="Times New Roman" w:cs="Times New Roman"/>
      <w:b/>
      <w:bCs/>
      <w:spacing w:val="30"/>
      <w:sz w:val="19"/>
      <w:szCs w:val="19"/>
      <w:u w:val="none"/>
    </w:rPr>
  </w:style>
  <w:style w:type="character" w:styleId="17" w:customStyle="1">
    <w:name w:val="Обычный (веб) Знак1"/>
    <w:link w:val="13"/>
    <w:qFormat/>
    <w:locked/>
    <w:rsid w:val="00202ff7"/>
    <w:rPr>
      <w:rFonts w:ascii="Times New Roman" w:hAnsi="Times New Roman" w:eastAsia="Times New Roman" w:cs="Times New Roman"/>
      <w:sz w:val="24"/>
      <w:szCs w:val="24"/>
      <w:lang w:eastAsia="zh-CN"/>
    </w:rPr>
  </w:style>
  <w:style w:type="character" w:styleId="Appletabspan" w:customStyle="1">
    <w:name w:val="apple-tab-span"/>
    <w:basedOn w:val="DefaultParagraphFont"/>
    <w:qFormat/>
    <w:rsid w:val="00cb066d"/>
    <w:rPr/>
  </w:style>
  <w:style w:type="character" w:styleId="Pagenumber">
    <w:name w:val="page number"/>
    <w:basedOn w:val="12"/>
    <w:qFormat/>
    <w:rsid w:val="00ba11ae"/>
    <w:rPr/>
  </w:style>
  <w:style w:type="character" w:styleId="Style28" w:customStyle="1">
    <w:name w:val="Гіперпосилання"/>
    <w:basedOn w:val="DefaultParagraphFont"/>
    <w:uiPriority w:val="99"/>
    <w:unhideWhenUsed/>
    <w:rsid w:val="004722c6"/>
    <w:rPr>
      <w:color w:val="0000FF" w:themeColor="hyperlink"/>
      <w:u w:val="single"/>
    </w:rPr>
  </w:style>
  <w:style w:type="character" w:styleId="18" w:customStyle="1">
    <w:name w:val="Основной текст1"/>
    <w:link w:val="Heading1"/>
    <w:qFormat/>
    <w:rsid w:val="00cc4b41"/>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21"/>
      <w:sz w:val="21"/>
      <w:szCs w:val="21"/>
      <w:u w:val="none"/>
      <w:vertAlign w:val="baseline"/>
      <w:lang w:val="uk-UA" w:bidi="uk-UA"/>
    </w:rPr>
  </w:style>
  <w:style w:type="character" w:styleId="Grame" w:customStyle="1">
    <w:name w:val="grame"/>
    <w:basedOn w:val="DefaultParagraphFont"/>
    <w:qFormat/>
    <w:rsid w:val="002134c1"/>
    <w:rPr/>
  </w:style>
  <w:style w:type="character" w:styleId="23" w:customStyle="1">
    <w:name w:val="Основной текст (2)_"/>
    <w:basedOn w:val="DefaultParagraphFont"/>
    <w:qFormat/>
    <w:rsid w:val="00dd2f7f"/>
    <w:rPr>
      <w:sz w:val="21"/>
      <w:szCs w:val="21"/>
      <w:lang w:bidi="ar-SA"/>
    </w:rPr>
  </w:style>
  <w:style w:type="character" w:styleId="19" w:customStyle="1">
    <w:name w:val="Заголовок №1_"/>
    <w:basedOn w:val="DefaultParagraphFont"/>
    <w:qFormat/>
    <w:rsid w:val="00dd2f7f"/>
    <w:rPr>
      <w:rFonts w:ascii="Times New Roman" w:hAnsi="Times New Roman" w:cs="Times New Roman"/>
      <w:b/>
      <w:bCs/>
      <w:sz w:val="21"/>
      <w:szCs w:val="21"/>
      <w:u w:val="none"/>
    </w:rPr>
  </w:style>
  <w:style w:type="character" w:styleId="31" w:customStyle="1">
    <w:name w:val="Основной текст (3)_"/>
    <w:basedOn w:val="DefaultParagraphFont"/>
    <w:qFormat/>
    <w:rsid w:val="00dd2f7f"/>
    <w:rPr>
      <w:b/>
      <w:bCs/>
      <w:lang w:bidi="ar-SA"/>
    </w:rPr>
  </w:style>
  <w:style w:type="character" w:styleId="221" w:customStyle="1">
    <w:name w:val="Основной текст (2)2"/>
    <w:basedOn w:val="23"/>
    <w:qFormat/>
    <w:rsid w:val="00dd2f7f"/>
    <w:rPr/>
  </w:style>
  <w:style w:type="character" w:styleId="110" w:customStyle="1">
    <w:name w:val="Верхний колонтитул Знак1"/>
    <w:basedOn w:val="DefaultParagraphFont"/>
    <w:link w:val="affd"/>
    <w:semiHidden/>
    <w:qFormat/>
    <w:rsid w:val="00dd2f7f"/>
    <w:rPr>
      <w:rFonts w:ascii="Times New Roman" w:hAnsi="Times New Roman" w:eastAsia="Andale Sans UI" w:cs="Times New Roman"/>
      <w:kern w:val="2"/>
      <w:sz w:val="24"/>
      <w:szCs w:val="24"/>
      <w:lang w:val="de-DE" w:eastAsia="fa-IR" w:bidi="fa-IR"/>
    </w:rPr>
  </w:style>
  <w:style w:type="character" w:styleId="111" w:customStyle="1">
    <w:name w:val="Нижний колонтитул Знак1"/>
    <w:basedOn w:val="DefaultParagraphFont"/>
    <w:link w:val="affe"/>
    <w:semiHidden/>
    <w:qFormat/>
    <w:rsid w:val="00dd2f7f"/>
    <w:rPr>
      <w:rFonts w:ascii="Times New Roman" w:hAnsi="Times New Roman" w:eastAsia="Andale Sans UI" w:cs="Times New Roman"/>
      <w:kern w:val="2"/>
      <w:sz w:val="24"/>
      <w:szCs w:val="24"/>
      <w:lang w:val="de-DE" w:eastAsia="fa-IR" w:bidi="fa-IR"/>
    </w:rPr>
  </w:style>
  <w:style w:type="paragraph" w:styleId="Style29" w:customStyle="1">
    <w:name w:val="Заголовок"/>
    <w:basedOn w:val="Normal"/>
    <w:next w:val="Style30"/>
    <w:qFormat/>
    <w:rsid w:val="00d4784e"/>
    <w:pPr>
      <w:keepNext w:val="true"/>
      <w:spacing w:before="240" w:after="120"/>
    </w:pPr>
    <w:rPr>
      <w:rFonts w:ascii="Arial" w:hAnsi="Arial" w:eastAsia="Arial Unicode MS" w:cs="Mangal"/>
      <w:sz w:val="28"/>
      <w:szCs w:val="28"/>
    </w:rPr>
  </w:style>
  <w:style w:type="paragraph" w:styleId="Style30">
    <w:name w:val="Body Text"/>
    <w:basedOn w:val="Normal"/>
    <w:rsid w:val="00d4784e"/>
    <w:pPr>
      <w:spacing w:before="0" w:after="120"/>
    </w:pPr>
    <w:rPr/>
  </w:style>
  <w:style w:type="paragraph" w:styleId="Style31">
    <w:name w:val="List"/>
    <w:basedOn w:val="Style30"/>
    <w:rsid w:val="00d4784e"/>
    <w:pPr/>
    <w:rPr>
      <w:rFonts w:cs="Mangal"/>
    </w:rPr>
  </w:style>
  <w:style w:type="paragraph" w:styleId="Style32" w:customStyle="1">
    <w:name w:val="Caption"/>
    <w:basedOn w:val="Normal"/>
    <w:qFormat/>
    <w:rsid w:val="002c23cb"/>
    <w:pPr>
      <w:suppressLineNumbers/>
      <w:spacing w:before="120" w:after="120"/>
    </w:pPr>
    <w:rPr>
      <w:rFonts w:cs="Lucida Sans"/>
      <w:i/>
      <w:iCs/>
    </w:rPr>
  </w:style>
  <w:style w:type="paragraph" w:styleId="Style33" w:customStyle="1">
    <w:name w:val="Покажчик"/>
    <w:basedOn w:val="Normal"/>
    <w:qFormat/>
    <w:rsid w:val="009b1a63"/>
    <w:pPr>
      <w:suppressLineNumbers/>
    </w:pPr>
    <w:rPr>
      <w:rFonts w:cs="Lucida Sans"/>
    </w:rPr>
  </w:style>
  <w:style w:type="paragraph" w:styleId="112" w:customStyle="1">
    <w:name w:val="Заголовок 11"/>
    <w:basedOn w:val="Normal"/>
    <w:next w:val="Style30"/>
    <w:qFormat/>
    <w:rsid w:val="00d4784e"/>
    <w:pPr>
      <w:keepNext w:val="true"/>
      <w:tabs>
        <w:tab w:val="clear" w:pos="709"/>
        <w:tab w:val="left" w:pos="0" w:leader="none"/>
      </w:tabs>
      <w:ind w:left="432" w:hanging="432"/>
      <w:jc w:val="right"/>
      <w:outlineLvl w:val="0"/>
    </w:pPr>
    <w:rPr>
      <w:b/>
    </w:rPr>
  </w:style>
  <w:style w:type="paragraph" w:styleId="211" w:customStyle="1">
    <w:name w:val="Заголовок 21"/>
    <w:basedOn w:val="Normal"/>
    <w:next w:val="Style30"/>
    <w:link w:val="2"/>
    <w:qFormat/>
    <w:rsid w:val="00d4784e"/>
    <w:pPr>
      <w:keepNext w:val="true"/>
      <w:tabs>
        <w:tab w:val="clear" w:pos="709"/>
        <w:tab w:val="left" w:pos="0" w:leader="none"/>
      </w:tabs>
      <w:ind w:left="576" w:hanging="576"/>
      <w:jc w:val="right"/>
      <w:outlineLvl w:val="1"/>
    </w:pPr>
    <w:rPr>
      <w:b/>
    </w:rPr>
  </w:style>
  <w:style w:type="paragraph" w:styleId="311" w:customStyle="1">
    <w:name w:val="Заголовок 31"/>
    <w:basedOn w:val="Normal"/>
    <w:next w:val="Style30"/>
    <w:link w:val="3"/>
    <w:qFormat/>
    <w:rsid w:val="00d4784e"/>
    <w:pPr>
      <w:keepNext w:val="true"/>
      <w:tabs>
        <w:tab w:val="clear" w:pos="709"/>
        <w:tab w:val="left" w:pos="0" w:leader="none"/>
      </w:tabs>
      <w:spacing w:before="240" w:after="60"/>
      <w:ind w:left="720" w:hanging="720"/>
      <w:outlineLvl w:val="2"/>
    </w:pPr>
    <w:rPr>
      <w:rFonts w:ascii="Arial" w:hAnsi="Arial" w:cs="Arial"/>
      <w:b/>
      <w:bCs/>
      <w:sz w:val="26"/>
      <w:szCs w:val="26"/>
    </w:rPr>
  </w:style>
  <w:style w:type="paragraph" w:styleId="41" w:customStyle="1">
    <w:name w:val="Заголовок 41"/>
    <w:basedOn w:val="Normal"/>
    <w:next w:val="Normal"/>
    <w:link w:val="4"/>
    <w:qFormat/>
    <w:rsid w:val="00ba11ae"/>
    <w:pPr>
      <w:keepNext w:val="true"/>
      <w:spacing w:before="240" w:after="60"/>
      <w:textAlignment w:val="baseline"/>
    </w:pPr>
    <w:rPr>
      <w:rFonts w:ascii="Arial" w:hAnsi="Arial" w:cs="Arial"/>
      <w:b/>
    </w:rPr>
  </w:style>
  <w:style w:type="paragraph" w:styleId="61" w:customStyle="1">
    <w:name w:val="Заголовок 61"/>
    <w:basedOn w:val="Normal"/>
    <w:next w:val="Style30"/>
    <w:link w:val="6"/>
    <w:qFormat/>
    <w:rsid w:val="00d4784e"/>
    <w:pPr>
      <w:keepNext w:val="true"/>
      <w:tabs>
        <w:tab w:val="clear" w:pos="709"/>
        <w:tab w:val="left" w:pos="0" w:leader="none"/>
      </w:tabs>
      <w:spacing w:before="60" w:after="0"/>
      <w:ind w:left="1152" w:hanging="1152"/>
      <w:jc w:val="center"/>
      <w:outlineLvl w:val="5"/>
    </w:pPr>
    <w:rPr>
      <w:b/>
      <w:sz w:val="32"/>
    </w:rPr>
  </w:style>
  <w:style w:type="paragraph" w:styleId="71" w:customStyle="1">
    <w:name w:val="Заголовок 71"/>
    <w:basedOn w:val="Normal"/>
    <w:next w:val="Style30"/>
    <w:link w:val="7"/>
    <w:qFormat/>
    <w:rsid w:val="00d4784e"/>
    <w:pPr>
      <w:tabs>
        <w:tab w:val="clear" w:pos="709"/>
        <w:tab w:val="left" w:pos="0" w:leader="none"/>
      </w:tabs>
      <w:spacing w:before="240" w:after="60"/>
      <w:ind w:left="1296" w:hanging="1296"/>
      <w:outlineLvl w:val="6"/>
    </w:pPr>
    <w:rPr/>
  </w:style>
  <w:style w:type="paragraph" w:styleId="113" w:customStyle="1">
    <w:name w:val="Назва об'єкта1"/>
    <w:basedOn w:val="Normal"/>
    <w:qFormat/>
    <w:rsid w:val="009b1a63"/>
    <w:pPr>
      <w:suppressLineNumbers/>
      <w:spacing w:before="120" w:after="120"/>
    </w:pPr>
    <w:rPr>
      <w:rFonts w:cs="Lucida Sans"/>
      <w:i/>
      <w:iCs/>
    </w:rPr>
  </w:style>
  <w:style w:type="paragraph" w:styleId="24" w:customStyle="1">
    <w:name w:val="Название2"/>
    <w:basedOn w:val="Normal"/>
    <w:qFormat/>
    <w:rsid w:val="00d4784e"/>
    <w:pPr>
      <w:suppressLineNumbers/>
      <w:spacing w:before="120" w:after="120"/>
    </w:pPr>
    <w:rPr>
      <w:rFonts w:cs="Mangal"/>
      <w:i/>
      <w:iCs/>
    </w:rPr>
  </w:style>
  <w:style w:type="paragraph" w:styleId="25" w:customStyle="1">
    <w:name w:val="Указатель2"/>
    <w:basedOn w:val="Normal"/>
    <w:qFormat/>
    <w:rsid w:val="00d4784e"/>
    <w:pPr>
      <w:suppressLineNumbers/>
    </w:pPr>
    <w:rPr>
      <w:rFonts w:cs="Mangal"/>
    </w:rPr>
  </w:style>
  <w:style w:type="paragraph" w:styleId="114" w:customStyle="1">
    <w:name w:val="Название1"/>
    <w:basedOn w:val="Normal"/>
    <w:qFormat/>
    <w:rsid w:val="00d4784e"/>
    <w:pPr>
      <w:suppressLineNumbers/>
      <w:spacing w:before="120" w:after="120"/>
    </w:pPr>
    <w:rPr>
      <w:rFonts w:cs="Mangal"/>
      <w:i/>
      <w:iCs/>
    </w:rPr>
  </w:style>
  <w:style w:type="paragraph" w:styleId="115" w:customStyle="1">
    <w:name w:val="Указатель1"/>
    <w:basedOn w:val="Normal"/>
    <w:qFormat/>
    <w:rsid w:val="00d4784e"/>
    <w:pPr>
      <w:suppressLineNumbers/>
    </w:pPr>
    <w:rPr>
      <w:rFonts w:cs="Mangal"/>
    </w:rPr>
  </w:style>
  <w:style w:type="paragraph" w:styleId="Style34">
    <w:name w:val="Title"/>
    <w:basedOn w:val="Normal"/>
    <w:next w:val="Style35"/>
    <w:qFormat/>
    <w:rsid w:val="00d4784e"/>
    <w:pPr>
      <w:ind w:left="320" w:hanging="0"/>
      <w:jc w:val="center"/>
    </w:pPr>
    <w:rPr>
      <w:rFonts w:ascii="Arial" w:hAnsi="Arial" w:cs="Arial"/>
      <w:b/>
      <w:bCs/>
      <w:sz w:val="18"/>
      <w:szCs w:val="36"/>
    </w:rPr>
  </w:style>
  <w:style w:type="paragraph" w:styleId="Style35">
    <w:name w:val="Subtitle"/>
    <w:basedOn w:val="Normal"/>
    <w:next w:val="Style30"/>
    <w:qFormat/>
    <w:rsid w:val="00d4784e"/>
    <w:pPr>
      <w:spacing w:lineRule="auto" w:line="360"/>
      <w:jc w:val="center"/>
    </w:pPr>
    <w:rPr>
      <w:b/>
      <w:i/>
      <w:iCs/>
      <w:lang w:val="en-GB"/>
    </w:rPr>
  </w:style>
  <w:style w:type="paragraph" w:styleId="212" w:customStyle="1">
    <w:name w:val="Основной текст 21"/>
    <w:basedOn w:val="Normal"/>
    <w:qFormat/>
    <w:rsid w:val="00d4784e"/>
    <w:pPr>
      <w:jc w:val="center"/>
    </w:pPr>
    <w:rPr>
      <w:b/>
    </w:rPr>
  </w:style>
  <w:style w:type="paragraph" w:styleId="HTML11" w:customStyle="1">
    <w:name w:val="Стандартный HTML1"/>
    <w:basedOn w:val="Normal"/>
    <w:qFormat/>
    <w:rsid w:val="00d4784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8"/>
      <w:szCs w:val="18"/>
      <w:lang w:val="ru-RU"/>
    </w:rPr>
  </w:style>
  <w:style w:type="paragraph" w:styleId="Style36" w:customStyle="1">
    <w:name w:val="Верхній і нижній колонтитули"/>
    <w:basedOn w:val="Normal"/>
    <w:qFormat/>
    <w:rsid w:val="009b1a63"/>
    <w:pPr/>
    <w:rPr/>
  </w:style>
  <w:style w:type="paragraph" w:styleId="116" w:customStyle="1">
    <w:name w:val="Верхній колонтитул1"/>
    <w:basedOn w:val="Normal"/>
    <w:qFormat/>
    <w:rsid w:val="00d4784e"/>
    <w:pPr>
      <w:suppressLineNumbers/>
      <w:tabs>
        <w:tab w:val="clear" w:pos="709"/>
        <w:tab w:val="center" w:pos="4819" w:leader="none"/>
        <w:tab w:val="right" w:pos="9639" w:leader="none"/>
      </w:tabs>
    </w:pPr>
    <w:rPr/>
  </w:style>
  <w:style w:type="paragraph" w:styleId="117" w:customStyle="1">
    <w:name w:val="Нижній колонтитул1"/>
    <w:basedOn w:val="Normal"/>
    <w:qFormat/>
    <w:rsid w:val="00d4784e"/>
    <w:pPr>
      <w:suppressLineNumbers/>
      <w:tabs>
        <w:tab w:val="clear" w:pos="709"/>
        <w:tab w:val="center" w:pos="4819" w:leader="none"/>
        <w:tab w:val="right" w:pos="9639" w:leader="none"/>
      </w:tabs>
    </w:pPr>
    <w:rPr/>
  </w:style>
  <w:style w:type="paragraph" w:styleId="118" w:customStyle="1">
    <w:name w:val="Обычный отступ1"/>
    <w:basedOn w:val="Normal"/>
    <w:qFormat/>
    <w:rsid w:val="00d4784e"/>
    <w:pPr>
      <w:spacing w:before="20" w:after="20"/>
      <w:ind w:left="708" w:firstLine="737"/>
      <w:jc w:val="both"/>
    </w:pPr>
    <w:rPr/>
  </w:style>
  <w:style w:type="paragraph" w:styleId="119" w:customStyle="1">
    <w:name w:val="Обычный (веб)1"/>
    <w:basedOn w:val="Normal"/>
    <w:qFormat/>
    <w:rsid w:val="00d4784e"/>
    <w:pPr>
      <w:spacing w:before="280" w:after="280"/>
    </w:pPr>
    <w:rPr>
      <w:lang w:val="ru-RU"/>
    </w:rPr>
  </w:style>
  <w:style w:type="paragraph" w:styleId="213" w:customStyle="1">
    <w:name w:val="Основной текст с отступом 21"/>
    <w:basedOn w:val="Normal"/>
    <w:qFormat/>
    <w:rsid w:val="00d4784e"/>
    <w:pPr>
      <w:spacing w:lineRule="auto" w:line="480" w:before="0" w:after="120"/>
      <w:ind w:left="283" w:hanging="0"/>
    </w:pPr>
    <w:rPr/>
  </w:style>
  <w:style w:type="paragraph" w:styleId="312" w:customStyle="1">
    <w:name w:val="Основной текст с отступом 31"/>
    <w:basedOn w:val="Normal"/>
    <w:qFormat/>
    <w:rsid w:val="00d4784e"/>
    <w:pPr>
      <w:spacing w:before="0" w:after="120"/>
      <w:ind w:left="283" w:hanging="0"/>
    </w:pPr>
    <w:rPr>
      <w:sz w:val="16"/>
      <w:szCs w:val="16"/>
    </w:rPr>
  </w:style>
  <w:style w:type="paragraph" w:styleId="CharChar" w:customStyle="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d4784e"/>
    <w:pPr/>
    <w:rPr>
      <w:rFonts w:ascii="Verdana" w:hAnsi="Verdana" w:cs="Verdana"/>
      <w:lang w:val="en-US"/>
    </w:rPr>
  </w:style>
  <w:style w:type="paragraph" w:styleId="Style37" w:customStyle="1">
    <w:name w:val="Підстава"/>
    <w:basedOn w:val="Normal"/>
    <w:qFormat/>
    <w:rsid w:val="00d4784e"/>
    <w:pPr>
      <w:tabs>
        <w:tab w:val="clear" w:pos="709"/>
        <w:tab w:val="left" w:pos="1134" w:leader="none"/>
      </w:tabs>
    </w:pPr>
    <w:rPr/>
  </w:style>
  <w:style w:type="paragraph" w:styleId="120" w:customStyle="1">
    <w:name w:val="Обычный1"/>
    <w:qFormat/>
    <w:rsid w:val="00d4784e"/>
    <w:pPr>
      <w:widowControl/>
      <w:suppressAutoHyphens w:val="true"/>
      <w:bidi w:val="0"/>
      <w:spacing w:before="0" w:after="0"/>
      <w:jc w:val="left"/>
    </w:pPr>
    <w:rPr>
      <w:rFonts w:ascii="Times New Roman" w:hAnsi="Times New Roman" w:eastAsia="Times New Roman" w:cs="Times New Roman"/>
      <w:color w:val="auto"/>
      <w:kern w:val="2"/>
      <w:sz w:val="24"/>
      <w:szCs w:val="20"/>
      <w:lang w:val="en-US" w:eastAsia="ar-SA" w:bidi="ar-SA"/>
    </w:rPr>
  </w:style>
  <w:style w:type="paragraph" w:styleId="121" w:customStyle="1">
    <w:name w:val="Знак1 Знак Знак Знак Знак Знак Знак Знак Знак Знак"/>
    <w:basedOn w:val="Normal"/>
    <w:qFormat/>
    <w:rsid w:val="00d4784e"/>
    <w:pPr/>
    <w:rPr>
      <w:rFonts w:ascii="Verdana" w:hAnsi="Verdana" w:cs="Verdana"/>
      <w:lang w:val="en-US"/>
    </w:rPr>
  </w:style>
  <w:style w:type="paragraph" w:styleId="122" w:customStyle="1">
    <w:name w:val="Текст выноски1"/>
    <w:basedOn w:val="Normal"/>
    <w:qFormat/>
    <w:rsid w:val="00d4784e"/>
    <w:pPr/>
    <w:rPr>
      <w:rFonts w:ascii="Tahoma" w:hAnsi="Tahoma" w:cs="Tahoma"/>
      <w:sz w:val="16"/>
      <w:szCs w:val="16"/>
    </w:rPr>
  </w:style>
  <w:style w:type="paragraph" w:styleId="123" w:customStyle="1">
    <w:name w:val="Абзац списка1"/>
    <w:basedOn w:val="Normal"/>
    <w:qFormat/>
    <w:rsid w:val="00d4784e"/>
    <w:pPr>
      <w:spacing w:lineRule="auto" w:line="276" w:before="0" w:after="200"/>
      <w:ind w:left="720" w:hanging="0"/>
    </w:pPr>
    <w:rPr>
      <w:rFonts w:ascii="Calibri" w:hAnsi="Calibri" w:eastAsia="Calibri" w:cs="Calibri"/>
      <w:sz w:val="22"/>
      <w:szCs w:val="22"/>
    </w:rPr>
  </w:style>
  <w:style w:type="paragraph" w:styleId="124" w:customStyle="1">
    <w:name w:val="Без интервала1"/>
    <w:uiPriority w:val="99"/>
    <w:qFormat/>
    <w:rsid w:val="00d4784e"/>
    <w:pPr>
      <w:widowControl/>
      <w:suppressAutoHyphens w:val="true"/>
      <w:bidi w:val="0"/>
      <w:spacing w:before="0" w:after="0"/>
      <w:jc w:val="left"/>
    </w:pPr>
    <w:rPr>
      <w:rFonts w:cs="Calibri" w:ascii="Calibri" w:hAnsi="Calibri" w:eastAsia="Calibri" w:asciiTheme="minorHAnsi" w:eastAsiaTheme="minorHAnsi" w:hAnsiTheme="minorHAnsi"/>
      <w:color w:val="auto"/>
      <w:kern w:val="2"/>
      <w:sz w:val="24"/>
      <w:szCs w:val="22"/>
      <w:lang w:val="uk-UA" w:eastAsia="ar-SA" w:bidi="ar-SA"/>
    </w:rPr>
  </w:style>
  <w:style w:type="paragraph" w:styleId="Rvps2" w:customStyle="1">
    <w:name w:val="rvps2"/>
    <w:basedOn w:val="Normal"/>
    <w:qFormat/>
    <w:rsid w:val="00d4784e"/>
    <w:pPr>
      <w:spacing w:before="280" w:after="280"/>
    </w:pPr>
    <w:rPr>
      <w:rFonts w:eastAsia="Calibri"/>
    </w:rPr>
  </w:style>
  <w:style w:type="paragraph" w:styleId="Blank" w:customStyle="1">
    <w:name w:val="Blank"/>
    <w:basedOn w:val="Normal"/>
    <w:qFormat/>
    <w:rsid w:val="00d4784e"/>
    <w:pPr>
      <w:tabs>
        <w:tab w:val="clear" w:pos="709"/>
        <w:tab w:val="left" w:pos="5387" w:leader="none"/>
        <w:tab w:val="right" w:pos="9356" w:leader="none"/>
      </w:tabs>
      <w:spacing w:before="0" w:after="240"/>
      <w:ind w:firstLine="720"/>
      <w:jc w:val="both"/>
    </w:pPr>
    <w:rPr>
      <w:b/>
      <w:sz w:val="26"/>
    </w:rPr>
  </w:style>
  <w:style w:type="paragraph" w:styleId="Style38">
    <w:name w:val="Body Text Indent"/>
    <w:basedOn w:val="Normal"/>
    <w:rsid w:val="00d4784e"/>
    <w:pPr>
      <w:spacing w:before="0" w:after="120"/>
      <w:ind w:left="283" w:hanging="0"/>
    </w:pPr>
    <w:rPr/>
  </w:style>
  <w:style w:type="paragraph" w:styleId="Rvps12" w:customStyle="1">
    <w:name w:val="rvps12"/>
    <w:basedOn w:val="Normal"/>
    <w:qFormat/>
    <w:rsid w:val="00d4784e"/>
    <w:pPr>
      <w:spacing w:before="100" w:after="100"/>
    </w:pPr>
    <w:rPr>
      <w:lang w:val="ru-RU"/>
    </w:rPr>
  </w:style>
  <w:style w:type="paragraph" w:styleId="125" w:customStyle="1">
    <w:name w:val="Текст концевой сноски1"/>
    <w:basedOn w:val="Normal"/>
    <w:qFormat/>
    <w:rsid w:val="00d4784e"/>
    <w:pPr/>
    <w:rPr/>
  </w:style>
  <w:style w:type="paragraph" w:styleId="126" w:customStyle="1">
    <w:name w:val="Текст сноски1"/>
    <w:basedOn w:val="Normal"/>
    <w:qFormat/>
    <w:rsid w:val="00d4784e"/>
    <w:pPr/>
    <w:rPr/>
  </w:style>
  <w:style w:type="paragraph" w:styleId="26" w:customStyle="1">
    <w:name w:val="Без интервала2"/>
    <w:qFormat/>
    <w:rsid w:val="00d4784e"/>
    <w:pPr>
      <w:widowControl/>
      <w:suppressAutoHyphens w:val="true"/>
      <w:bidi w:val="0"/>
      <w:spacing w:before="0" w:after="0"/>
      <w:jc w:val="left"/>
    </w:pPr>
    <w:rPr>
      <w:rFonts w:cs="Calibri" w:ascii="Calibri" w:hAnsi="Calibri" w:eastAsia="Calibri" w:asciiTheme="minorHAnsi" w:eastAsiaTheme="minorHAnsi" w:hAnsiTheme="minorHAnsi"/>
      <w:color w:val="auto"/>
      <w:kern w:val="2"/>
      <w:sz w:val="24"/>
      <w:szCs w:val="22"/>
      <w:lang w:val="uk-UA" w:eastAsia="ar-SA" w:bidi="ar-SA"/>
    </w:rPr>
  </w:style>
  <w:style w:type="paragraph" w:styleId="Tblcod" w:customStyle="1">
    <w:name w:val="tbl-cod"/>
    <w:basedOn w:val="Normal"/>
    <w:qFormat/>
    <w:rsid w:val="00d4784e"/>
    <w:pPr>
      <w:spacing w:before="280" w:after="280"/>
    </w:pPr>
    <w:rPr/>
  </w:style>
  <w:style w:type="paragraph" w:styleId="Style39" w:customStyle="1">
    <w:name w:val="Содержимое таблицы"/>
    <w:basedOn w:val="Normal"/>
    <w:qFormat/>
    <w:rsid w:val="00d4784e"/>
    <w:pPr>
      <w:suppressLineNumbers/>
    </w:pPr>
    <w:rPr/>
  </w:style>
  <w:style w:type="paragraph" w:styleId="Style40" w:customStyle="1">
    <w:name w:val="Заголовок таблицы"/>
    <w:basedOn w:val="Style39"/>
    <w:qFormat/>
    <w:rsid w:val="00d4784e"/>
    <w:pPr>
      <w:jc w:val="center"/>
    </w:pPr>
    <w:rPr>
      <w:b/>
      <w:bCs/>
    </w:rPr>
  </w:style>
  <w:style w:type="paragraph" w:styleId="Style41" w:customStyle="1">
    <w:name w:val="Содержимое врезки"/>
    <w:basedOn w:val="Style30"/>
    <w:qFormat/>
    <w:rsid w:val="00d4784e"/>
    <w:pPr/>
    <w:rPr/>
  </w:style>
  <w:style w:type="paragraph" w:styleId="313" w:customStyle="1">
    <w:name w:val="Основной текст 31"/>
    <w:basedOn w:val="Normal"/>
    <w:qFormat/>
    <w:rsid w:val="00d4784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color w:val="FF0000"/>
      <w:lang w:val="uk-UA"/>
    </w:rPr>
  </w:style>
  <w:style w:type="paragraph" w:styleId="HTMLPreformatted">
    <w:name w:val="HTML Preformatted"/>
    <w:basedOn w:val="Normal"/>
    <w:qFormat/>
    <w:rsid w:val="0015361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lang w:val="uk-UA"/>
    </w:rPr>
  </w:style>
  <w:style w:type="paragraph" w:styleId="1110" w:customStyle="1">
    <w:name w:val="Стиль Заголовок 1 + не все прописные1"/>
    <w:basedOn w:val="112"/>
    <w:uiPriority w:val="99"/>
    <w:qFormat/>
    <w:rsid w:val="00377e34"/>
    <w:pPr>
      <w:widowControl/>
      <w:tabs>
        <w:tab w:val="clear" w:pos="0"/>
        <w:tab w:val="left" w:pos="814" w:leader="none"/>
      </w:tabs>
      <w:ind w:left="1068" w:hanging="0"/>
      <w:jc w:val="both"/>
    </w:pPr>
    <w:rPr>
      <w:rFonts w:eastAsia="Times New Roman"/>
      <w:bCs/>
      <w:color w:val="000000"/>
      <w:kern w:val="0"/>
      <w:sz w:val="28"/>
      <w:szCs w:val="28"/>
      <w:lang w:val="uk-UA" w:eastAsia="zh-CN" w:bidi="ar-SA"/>
    </w:rPr>
  </w:style>
  <w:style w:type="paragraph" w:styleId="ListParagraph">
    <w:name w:val="List Paragraph"/>
    <w:basedOn w:val="Normal"/>
    <w:qFormat/>
    <w:rsid w:val="00393bb6"/>
    <w:pPr>
      <w:widowControl/>
      <w:suppressAutoHyphens w:val="false"/>
      <w:spacing w:lineRule="auto" w:line="276" w:before="0" w:after="0"/>
      <w:ind w:left="720" w:hanging="0"/>
      <w:contextualSpacing/>
    </w:pPr>
    <w:rPr>
      <w:rFonts w:ascii="Arial" w:hAnsi="Arial" w:eastAsia="Arial" w:cs="Arial"/>
      <w:color w:val="000000"/>
      <w:kern w:val="0"/>
      <w:sz w:val="22"/>
      <w:szCs w:val="22"/>
      <w:lang w:val="ru-RU" w:eastAsia="ru-RU" w:bidi="ar-SA"/>
    </w:rPr>
  </w:style>
  <w:style w:type="paragraph" w:styleId="NormalWeb">
    <w:name w:val="Normal (Web)"/>
    <w:basedOn w:val="Normal"/>
    <w:qFormat/>
    <w:rsid w:val="009455be"/>
    <w:pPr>
      <w:spacing w:before="100" w:after="100"/>
    </w:pPr>
    <w:rPr>
      <w:rFonts w:ascii="Arial" w:hAnsi="Arial" w:eastAsia="Times New Roman"/>
      <w:color w:val="000000"/>
      <w:lang w:val="ru-RU"/>
    </w:rPr>
  </w:style>
  <w:style w:type="paragraph" w:styleId="Standard" w:customStyle="1">
    <w:name w:val="Standard"/>
    <w:qFormat/>
    <w:rsid w:val="00966f9c"/>
    <w:pPr>
      <w:widowControl/>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Default" w:customStyle="1">
    <w:name w:val="Default"/>
    <w:qFormat/>
    <w:rsid w:val="00d2338b"/>
    <w:pPr>
      <w:widowControl/>
      <w:suppressAutoHyphens w:val="true"/>
      <w:bidi w:val="0"/>
      <w:spacing w:before="0" w:after="0"/>
      <w:jc w:val="left"/>
    </w:pPr>
    <w:rPr>
      <w:rFonts w:ascii="Arial" w:hAnsi="Arial" w:eastAsia="Times New Roman" w:cs="Arial"/>
      <w:color w:val="000000"/>
      <w:kern w:val="0"/>
      <w:sz w:val="24"/>
      <w:szCs w:val="24"/>
      <w:lang w:eastAsia="ru-RU" w:val="ru-RU" w:bidi="ar-SA"/>
    </w:rPr>
  </w:style>
  <w:style w:type="paragraph" w:styleId="Style42" w:customStyle="1">
    <w:name w:val="Вміст рамки"/>
    <w:basedOn w:val="Normal"/>
    <w:qFormat/>
    <w:rsid w:val="009b1a63"/>
    <w:pPr/>
    <w:rPr/>
  </w:style>
  <w:style w:type="paragraph" w:styleId="Style43" w:customStyle="1">
    <w:name w:val="Знак Знак"/>
    <w:basedOn w:val="Normal"/>
    <w:uiPriority w:val="99"/>
    <w:qFormat/>
    <w:rsid w:val="00d75c42"/>
    <w:pPr>
      <w:widowControl/>
      <w:suppressAutoHyphens w:val="false"/>
    </w:pPr>
    <w:rPr>
      <w:rFonts w:ascii="Verdana" w:hAnsi="Verdana" w:eastAsia="Times New Roman" w:cs="Verdana"/>
      <w:kern w:val="0"/>
      <w:sz w:val="20"/>
      <w:szCs w:val="20"/>
      <w:lang w:val="en-US" w:eastAsia="en-US" w:bidi="ar-SA"/>
    </w:rPr>
  </w:style>
  <w:style w:type="paragraph" w:styleId="Style44">
    <w:name w:val="Header"/>
    <w:basedOn w:val="Normal"/>
    <w:link w:val="1f7"/>
    <w:semiHidden/>
    <w:unhideWhenUsed/>
    <w:rsid w:val="00dd2f7f"/>
    <w:pPr>
      <w:tabs>
        <w:tab w:val="clear" w:pos="709"/>
        <w:tab w:val="center" w:pos="4819" w:leader="none"/>
        <w:tab w:val="right" w:pos="9639" w:leader="none"/>
      </w:tabs>
    </w:pPr>
    <w:rPr/>
  </w:style>
  <w:style w:type="paragraph" w:styleId="Style45">
    <w:name w:val="Footer"/>
    <w:basedOn w:val="Normal"/>
    <w:link w:val="1f8"/>
    <w:semiHidden/>
    <w:unhideWhenUsed/>
    <w:rsid w:val="00dd2f7f"/>
    <w:pPr>
      <w:tabs>
        <w:tab w:val="clear" w:pos="709"/>
        <w:tab w:val="center" w:pos="4819" w:leader="none"/>
        <w:tab w:val="right" w:pos="9639" w:leader="none"/>
      </w:tabs>
    </w:pPr>
    <w:rPr/>
  </w:style>
  <w:style w:type="paragraph" w:styleId="Style46" w:customStyle="1">
    <w:name w:val="Вміст таблиці"/>
    <w:basedOn w:val="Normal"/>
    <w:qFormat/>
    <w:rsid w:val="0015361a"/>
    <w:pPr>
      <w:suppressLineNumbers/>
    </w:pPr>
    <w:rPr/>
  </w:style>
  <w:style w:type="paragraph" w:styleId="Style47" w:customStyle="1">
    <w:name w:val="Заголовок таблиці"/>
    <w:basedOn w:val="Style46"/>
    <w:qFormat/>
    <w:rsid w:val="00b25b29"/>
    <w:pPr>
      <w:jc w:val="center"/>
    </w:pPr>
    <w:rPr>
      <w:b/>
      <w:bCs/>
    </w:rPr>
  </w:style>
  <w:style w:type="paragraph" w:styleId="NoSpacing">
    <w:name w:val="No Spacing"/>
    <w:qFormat/>
    <w:rsid w:val="0086497a"/>
    <w:pPr>
      <w:widowControl/>
      <w:suppressAutoHyphens w:val="true"/>
      <w:bidi w:val="0"/>
      <w:spacing w:before="0" w:after="0"/>
      <w:jc w:val="left"/>
    </w:pPr>
    <w:rPr>
      <w:rFonts w:cs="Calibri" w:ascii="Calibri" w:hAnsi="Calibri" w:eastAsia="Calibri" w:asciiTheme="minorHAnsi" w:eastAsiaTheme="minorHAnsi" w:hAnsiTheme="minorHAnsi"/>
      <w:color w:val="auto"/>
      <w:kern w:val="2"/>
      <w:sz w:val="22"/>
      <w:szCs w:val="22"/>
      <w:lang w:val="uk-UA" w:eastAsia="ja-JP" w:bidi="ar-SA"/>
    </w:rPr>
  </w:style>
  <w:style w:type="paragraph" w:styleId="Style48" w:customStyle="1">
    <w:name w:val="Нормальний текст"/>
    <w:basedOn w:val="Normal"/>
    <w:qFormat/>
    <w:rsid w:val="009455be"/>
    <w:pPr>
      <w:spacing w:before="120" w:after="0"/>
      <w:ind w:firstLine="567"/>
    </w:pPr>
    <w:rPr/>
  </w:style>
  <w:style w:type="paragraph" w:styleId="Style49" w:customStyle="1">
    <w:name w:val="Назва документа"/>
    <w:basedOn w:val="Normal"/>
    <w:qFormat/>
    <w:rsid w:val="009455be"/>
    <w:pPr>
      <w:keepNext w:val="true"/>
      <w:keepLines/>
      <w:spacing w:before="240" w:after="240"/>
      <w:jc w:val="center"/>
    </w:pPr>
    <w:rPr>
      <w:b/>
    </w:rPr>
  </w:style>
  <w:style w:type="paragraph" w:styleId="Style50" w:customStyle="1">
    <w:name w:val="Шапка документу"/>
    <w:basedOn w:val="Normal"/>
    <w:qFormat/>
    <w:rsid w:val="009455be"/>
    <w:pPr>
      <w:keepNext w:val="true"/>
      <w:keepLines/>
      <w:spacing w:before="0" w:after="240"/>
      <w:ind w:left="4536" w:hanging="0"/>
      <w:jc w:val="center"/>
    </w:pPr>
    <w:rPr/>
  </w:style>
  <w:style w:type="paragraph" w:styleId="WW" w:customStyle="1">
    <w:name w:val="WW-Базовый"/>
    <w:qFormat/>
    <w:rsid w:val="00ee7229"/>
    <w:pPr>
      <w:widowControl/>
      <w:suppressAutoHyphens w:val="true"/>
      <w:bidi w:val="0"/>
      <w:spacing w:before="0" w:after="0"/>
      <w:jc w:val="left"/>
    </w:pPr>
    <w:rPr>
      <w:rFonts w:ascii="Times New Roman" w:hAnsi="Times New Roman" w:eastAsia="Arial" w:cs="Times New Roman"/>
      <w:color w:val="00000A"/>
      <w:kern w:val="2"/>
      <w:sz w:val="24"/>
      <w:szCs w:val="20"/>
      <w:lang w:val="uk-UA" w:eastAsia="zh-CN" w:bidi="ar-SA"/>
    </w:rPr>
  </w:style>
  <w:style w:type="paragraph" w:styleId="Western" w:customStyle="1">
    <w:name w:val="western"/>
    <w:basedOn w:val="Normal"/>
    <w:qFormat/>
    <w:rsid w:val="00ee7229"/>
    <w:pPr>
      <w:widowControl/>
      <w:suppressAutoHyphens w:val="false"/>
      <w:spacing w:before="280" w:after="119"/>
    </w:pPr>
    <w:rPr>
      <w:rFonts w:eastAsia="Times New Roman"/>
      <w:kern w:val="0"/>
      <w:lang w:val="ru-RU" w:eastAsia="zh-CN" w:bidi="ar-SA"/>
    </w:rPr>
  </w:style>
  <w:style w:type="paragraph" w:styleId="42" w:customStyle="1">
    <w:name w:val="Основной текст (4)"/>
    <w:basedOn w:val="Normal"/>
    <w:qFormat/>
    <w:rsid w:val="00dd2f7f"/>
    <w:pPr>
      <w:shd w:val="clear" w:color="auto" w:fill="FFFFFF"/>
      <w:spacing w:lineRule="atLeast" w:line="240" w:before="0" w:after="180"/>
      <w:jc w:val="both"/>
    </w:pPr>
    <w:rPr>
      <w:rFonts w:ascii="Lucida Sans Unicode" w:hAnsi="Lucida Sans Unicode" w:cs="Lucida Sans Unicode"/>
      <w:spacing w:val="50"/>
      <w:sz w:val="8"/>
      <w:szCs w:val="8"/>
      <w:lang w:val="ru-RU"/>
    </w:rPr>
  </w:style>
  <w:style w:type="paragraph" w:styleId="127" w:customStyle="1">
    <w:name w:val="Заголовок №1"/>
    <w:basedOn w:val="Normal"/>
    <w:qFormat/>
    <w:rsid w:val="00dd2f7f"/>
    <w:pPr>
      <w:shd w:val="clear" w:color="auto" w:fill="FFFFFF"/>
      <w:spacing w:lineRule="atLeast" w:line="240" w:before="240" w:after="300"/>
      <w:jc w:val="both"/>
    </w:pPr>
    <w:rPr>
      <w:b/>
      <w:bCs/>
      <w:sz w:val="21"/>
      <w:szCs w:val="21"/>
      <w:lang w:val="ru-RU"/>
    </w:rPr>
  </w:style>
  <w:style w:type="paragraph" w:styleId="32" w:customStyle="1">
    <w:name w:val="Основной текст (3)"/>
    <w:basedOn w:val="Normal"/>
    <w:qFormat/>
    <w:rsid w:val="00dd2f7f"/>
    <w:pPr>
      <w:shd w:val="clear" w:color="auto" w:fill="FFFFFF"/>
      <w:spacing w:lineRule="atLeast" w:line="240" w:before="0" w:after="180"/>
      <w:jc w:val="center"/>
    </w:pPr>
    <w:rPr>
      <w:b/>
      <w:bCs/>
      <w:lang w:val="uk-UA" w:eastAsia="uk-UA"/>
    </w:rPr>
  </w:style>
  <w:style w:type="paragraph" w:styleId="214" w:customStyle="1">
    <w:name w:val="Основной текст (2)1"/>
    <w:basedOn w:val="Normal"/>
    <w:qFormat/>
    <w:rsid w:val="00dd2f7f"/>
    <w:pPr>
      <w:shd w:val="clear" w:color="auto" w:fill="FFFFFF"/>
      <w:spacing w:lineRule="atLeast" w:line="240" w:before="180" w:after="480"/>
      <w:jc w:val="both"/>
    </w:pPr>
    <w:rPr>
      <w:sz w:val="21"/>
      <w:szCs w:val="21"/>
      <w:lang w:val="uk-UA" w:eastAsia="uk-UA"/>
    </w:rPr>
  </w:style>
  <w:style w:type="paragraph" w:styleId="ListParagraph1" w:customStyle="1">
    <w:name w:val="List Paragraph1"/>
    <w:basedOn w:val="Normal"/>
    <w:qFormat/>
    <w:rsid w:val="00dd2f7f"/>
    <w:pPr>
      <w:widowControl/>
      <w:suppressAutoHyphens w:val="false"/>
      <w:ind w:left="720" w:hanging="0"/>
    </w:pPr>
    <w:rPr>
      <w:rFonts w:ascii="Calibri" w:hAnsi="Calibri" w:eastAsia="Times New Roman"/>
      <w:kern w:val="0"/>
      <w:lang w:val="ru-RU" w:eastAsia="ru-RU" w:bidi="ar-SA"/>
    </w:rPr>
  </w:style>
  <w:style w:type="numbering" w:styleId="NoList" w:default="1">
    <w:name w:val="No List"/>
    <w:uiPriority w:val="99"/>
    <w:semiHidden/>
    <w:unhideWhenUsed/>
    <w:qFormat/>
  </w:style>
  <w:style w:type="numbering" w:styleId="WW8Num2" w:customStyle="1">
    <w:name w:val="WW8Num2"/>
    <w:qFormat/>
    <w:rsid w:val="0015361a"/>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25">
    <w:name w:val="Сетка таблицы2"/>
    <w:basedOn w:val="a1"/>
    <w:uiPriority w:val="59"/>
    <w:rsid w:val="00827299"/>
    <w:rPr>
      <w:lang w:val="uk-UA"/>
      <w:sz w:val="28"/>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fc">
    <w:name w:val="Table Grid"/>
    <w:basedOn w:val="a1"/>
    <w:uiPriority w:val="59"/>
    <w:rsid w:val="0082729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02505-416C-48EE-B5DE-7E8E3227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Application>LibreOffice/6.4.3.2$Windows_x86 LibreOffice_project/747b5d0ebf89f41c860ec2a39efd7cb15b54f2d8</Application>
  <Pages>48</Pages>
  <Words>11617</Words>
  <Characters>81861</Characters>
  <CharactersWithSpaces>93019</CharactersWithSpaces>
  <Paragraphs>1225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2022-10-20T08:37:00Z</dcterms:created>
  <dc:creator>Адміністратор ГУ ПФУ</dc:creator>
  <dc:description/>
  <dc:language>uk-UA</dc:language>
  <cp:lastModifiedBy/>
  <cp:lastPrinted>2022-11-23T15:14:00Z</cp:lastPrinted>
  <dcterms:modified xsi:type="dcterms:W3CDTF">2022-12-02T16:20:20Z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