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  2</w:t>
      </w:r>
    </w:p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"/>
          <w:szCs w:val="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"/>
          <w:szCs w:val="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</w:rPr>
        <w:t>ТЕХНІЧНА СПЕЦИФІКАЦІЯ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val="uk-UA"/>
        </w:rPr>
        <w:t>П</w:t>
      </w:r>
      <w:r>
        <w:rPr>
          <w:bCs/>
          <w:lang w:val="uk-UA"/>
        </w:rPr>
        <w:t xml:space="preserve">ослуги із благоустрою населених пунктів, а саме: </w:t>
      </w:r>
      <w:r>
        <w:rPr>
          <w:rFonts w:eastAsia="Times New Roman" w:cs="Times New Roman" w:ascii="Times New Roman" w:hAnsi="Times New Roman"/>
          <w:bCs/>
          <w:lang w:val="uk-UA" w:eastAsia="ar-SA"/>
        </w:rPr>
        <w:t>облаштування “Алеї Слави загиблих воїнів”в</w:t>
      </w:r>
      <w:r>
        <w:rPr>
          <w:bCs/>
          <w:lang w:val="uk-UA"/>
        </w:rPr>
        <w:t xml:space="preserve"> с. Вигода Вигодянської сільської ради Одеського району Одеської області, код ДК 021:2015 – </w:t>
      </w:r>
      <w:r>
        <w:rPr>
          <w:rFonts w:eastAsia="Times New Roman" w:cs="Times New Roman" w:ascii="Times New Roman" w:hAnsi="Times New Roman"/>
          <w:bCs/>
          <w:lang w:val="uk-UA" w:eastAsia="ar-SA"/>
        </w:rPr>
        <w:t>45110000-1</w:t>
      </w:r>
      <w:r>
        <w:rPr>
          <w:bCs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lang w:val="uk-UA" w:eastAsia="ar-SA"/>
        </w:rPr>
        <w:t>Руйнування та знесення будівель і земляні роботи.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tbl>
      <w:tblPr>
        <w:tblStyle w:val="af2"/>
        <w:tblW w:w="960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740"/>
        <w:gridCol w:w="4859"/>
      </w:tblGrid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ослуги із благоустрою населених пунктів, а саме: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ar-SA"/>
              </w:rPr>
              <w:t>облаштування “Алеї Слави загиблих воїнів”в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с. Вигода Вигодянської сільської ради Одеського району Одеської області.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600" w:leader="none"/>
              </w:tabs>
              <w:spacing w:before="0" w:after="16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highlight w:val="white"/>
                <w:lang w:val="uk-UA" w:eastAsia="ar-SA"/>
              </w:rPr>
              <w:t>45110000-1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highlight w:val="white"/>
                <w:lang w:val="uk-UA" w:eastAsia="ar-SA"/>
              </w:rPr>
              <w:t>Руйнування та знесення будівель і земляні роботи.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>1 послуга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Місце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. Вигода, Одеський район, Одеська область;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Строк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 3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uk-UA" w:eastAsia="uk-UA" w:bidi="ar-SA"/>
              </w:rPr>
              <w:t>1 груд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ня 2024 року включно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sz w:val="23"/>
          <w:szCs w:val="23"/>
          <w:u w:val="single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Надання послуги повинно здійснюватися з урахуванням норм Закону України "Про  благоустрій населених пунктів"; Закону України "Про охорону навколишнього природного середовища"; інших нормативно-правових актів України у сфері благоустрою та зеленого господарства.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Учасник визначає ціни на послуги, які він пропонує виконати за Договором, на підставі  вимог, наданих у технічному завданні цієї тендерної документації з урахуванням проєкту договору та усіх своїх витрат, податків і зборів, що сплачуються або мають бути сплачені.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Обсяг даних послуг може зменшуватися залежно від виробничої потреби. Замовник  не зобов’язаний замовляти послуги в повному обсязі.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 На підтвердження права власності чи користування автотранспортом та спецтехнікою учасники подають копії наступних документів, що підтверджують право власності/ володіння/ користування тощо відповідним майном: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У разі наявності власного обладнання: скановані копії свідоцтва про державну реєстрацію транспортних засобів (що посвідчує право власності учасника);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 разі залучення автотранспорту, спецтехніки та обладнання: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Сканований з оригіналу чинний договір оренди або іншого користування (на кожну одиницю техніки), що містять підпис і печатку (за наявності) Учасника та контрагента за договором, який діє протягом усього строку надання послуг згідно умов закупівлі, та скановані копії свідоцтва про державну реєстрацію транспортних засобів, що орендуються.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 забезпечується виконавцем.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 ході надання послуг виконавець повинен використовувати техніку (транспортні засоби тощо) та обладнання (механізми та/або пристроїв та/або приладів та/або інструментів тощо), технічний стан яких не спричиняють шкоди довкіллю і не забруднюють навколишнє середовище паливно-мастильними матеріалами.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 акті-претензії.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замовника. 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Ціна пропозиції виводиться за весь обсяг запропонованих послуг відповідно до Технічного завдання.</w:t>
      </w:r>
    </w:p>
    <w:p>
      <w:pPr>
        <w:pStyle w:val="Normal"/>
        <w:tabs>
          <w:tab w:val="clear" w:pos="709"/>
          <w:tab w:val="left" w:pos="465" w:leader="none"/>
        </w:tabs>
        <w:jc w:val="center"/>
        <w:rPr>
          <w:rFonts w:ascii="Times New Roman" w:hAnsi="Times New Roman" w:cs="Times New Roman"/>
          <w:b/>
          <w:b/>
          <w:sz w:val="23"/>
          <w:szCs w:val="23"/>
          <w:shd w:fill="FFFFFA" w:val="clear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Технічні, якісні та кількості характеристики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предмета закупівлі</w:t>
      </w:r>
    </w:p>
    <w:p>
      <w:pPr>
        <w:pStyle w:val="Normal"/>
        <w:spacing w:lineRule="auto" w:line="240" w:before="0" w:after="0"/>
        <w:ind w:firstLine="708"/>
        <w:jc w:val="both"/>
        <w:rPr>
          <w:spacing w:val="-3"/>
          <w:sz w:val="24"/>
          <w:szCs w:val="24"/>
          <w:lang w:val="uk-UA"/>
        </w:rPr>
      </w:pPr>
      <w:r>
        <w:rPr>
          <w:rFonts w:cs="Arial" w:ascii="Arial" w:hAnsi="Arial"/>
          <w:spacing w:val="-3"/>
          <w:sz w:val="24"/>
          <w:szCs w:val="24"/>
          <w:lang w:val="uk-UA"/>
        </w:rPr>
      </w:r>
    </w:p>
    <w:tbl>
      <w:tblPr>
        <w:tblW w:w="949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04"/>
        <w:gridCol w:w="6521"/>
        <w:gridCol w:w="1133"/>
        <w:gridCol w:w="1134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Звалювання з кореня дерев м’яких порід, діаметр стовбура понад 24 см до 32 см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20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Корчування пнів з переміщенням до 10 м, діаметр пня понад 26 см до 34 см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пнів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20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 xml:space="preserve">Улаштування дорожніх корит коритного профілю з застосуванням екскаваторів, глибина корита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до 250 мм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120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Перевезення  сміття до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км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24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Перевезення 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грунту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до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км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45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Улаштування  вирівнювальних шарів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основи із щебеню екскаватором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18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Установлення бетонних поребриків на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бетонну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основу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76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 xml:space="preserve">Готування  важкого бетону </w:t>
            </w: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на щебені, клас бетону В15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3,88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Улаштування  вирівнювальних шарів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основи із щебеню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 товщину шару 12 см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Улаштування покриттів з  фігурних елементів мощення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 приготуванням піщано- цементної суміші площадок та тротуарів шириною понад 2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Копання ям для встановлення стояків та стовпів глибиною 0,4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Виготовлення металевих стендів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Монтаж дрібних металоконструкцій вагою до 0,5 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0,31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Готування  важкого бетону на щебені, клас бетону В15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Calibri" w:cs="Calibri" w:ascii="Times New Roman" w:hAnsi="Times New Roman"/>
                <w:color w:val="auto"/>
                <w:spacing w:val="-3"/>
                <w:kern w:val="0"/>
                <w:sz w:val="24"/>
                <w:szCs w:val="24"/>
                <w:lang w:val="uk-UA" w:eastAsia="uk-UA" w:bidi="ar-SA"/>
              </w:rPr>
              <w:t>1,54</w:t>
            </w:r>
          </w:p>
        </w:tc>
      </w:tr>
    </w:tbl>
    <w:p>
      <w:pPr>
        <w:pStyle w:val="Normal"/>
        <w:tabs>
          <w:tab w:val="clear" w:pos="709"/>
          <w:tab w:val="left" w:pos="465" w:leader="none"/>
        </w:tabs>
        <w:rPr>
          <w:rFonts w:ascii="Times New Roman" w:hAnsi="Times New Roman" w:cs="Times New Roman"/>
          <w:b/>
          <w:b/>
          <w:sz w:val="23"/>
          <w:szCs w:val="23"/>
          <w:shd w:fill="FFFFFA" w:val="clea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Перелік документів, які вимагаються для підтвердження відповідності учасника кваліфікаційним та іншим вимогам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 Цінова  пропозиція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*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</w:rPr>
        <w:t>Документ, що підтверджує повноваження щодо підпису договору та документів пропозиції учасника (виписку з протоколу засновників, наказу про призначення, довіреності, доручення  або інший документ, тощо) (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юридичної особи</w:t>
      </w:r>
      <w:r>
        <w:rPr>
          <w:rFonts w:eastAsia="Times New Roman" w:ascii="Times New Roman" w:hAnsi="Times New Roman"/>
          <w:bCs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 </w:t>
      </w:r>
      <w:r>
        <w:rPr>
          <w:rFonts w:eastAsia="Times New Roman" w:ascii="Times New Roman" w:hAnsi="Times New Roman"/>
          <w:sz w:val="24"/>
          <w:szCs w:val="24"/>
        </w:rPr>
        <w:t>Учасники фізичні особи надають: паспорт, довідку про присвоєння ідентифікаційного коду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телефон, електронна адреса).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5.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Лист- згоду, в довільні формі, на обробку персональних даних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ЦІНОВА ПРОПОЗИЦІЯ*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(подається на фірмовому бланку (за наявності)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</w:rPr>
        <w:tab/>
        <w:t>Ми, ____________(</w:t>
      </w:r>
      <w:r>
        <w:rPr>
          <w:rFonts w:eastAsia="Times New Roman" w:ascii="Times New Roman" w:hAnsi="Times New Roman"/>
          <w:i/>
          <w:sz w:val="24"/>
          <w:szCs w:val="24"/>
        </w:rPr>
        <w:t>назва Учасника</w:t>
      </w:r>
      <w:r>
        <w:rPr>
          <w:rFonts w:eastAsia="Times New Roman" w:ascii="Times New Roman" w:hAnsi="Times New Roman"/>
          <w:sz w:val="24"/>
          <w:szCs w:val="24"/>
        </w:rPr>
        <w:t xml:space="preserve">), надаємо свою  пропозицію на закупівлю: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uk-UA"/>
        </w:rPr>
        <w:t>П</w:t>
      </w:r>
      <w:r>
        <w:rPr>
          <w:bCs/>
          <w:lang w:val="uk-UA"/>
        </w:rPr>
        <w:t xml:space="preserve">ослуги із благоустрою населених пунктів, а саме: </w:t>
      </w:r>
      <w:r>
        <w:rPr>
          <w:rFonts w:eastAsia="Times New Roman" w:cs="Times New Roman" w:ascii="Times New Roman" w:hAnsi="Times New Roman"/>
          <w:bCs/>
          <w:lang w:val="uk-UA" w:eastAsia="ar-SA"/>
        </w:rPr>
        <w:t>облаштування “Алеї Слави загиблих воїнів”в</w:t>
      </w:r>
      <w:r>
        <w:rPr>
          <w:bCs/>
          <w:lang w:val="uk-UA"/>
        </w:rPr>
        <w:t xml:space="preserve"> с. Вигода Вигодянської сільської ради Одеського району Одеської області, код ДК 021:2015 – </w:t>
      </w:r>
      <w:r>
        <w:rPr>
          <w:rFonts w:eastAsia="Times New Roman" w:cs="Times New Roman" w:ascii="Times New Roman" w:hAnsi="Times New Roman"/>
          <w:bCs/>
          <w:lang w:val="uk-UA" w:eastAsia="ar-SA"/>
        </w:rPr>
        <w:t>45110000-1</w:t>
      </w:r>
      <w:r>
        <w:rPr>
          <w:bCs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lang w:val="uk-UA" w:eastAsia="ar-SA"/>
        </w:rPr>
        <w:t>Руйнування та знесення будівель і земляні роботи.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eastAsia="Times New Roman" w:ascii="Times New Roman" w:hAnsi="Times New Roman"/>
        </w:rPr>
        <w:t xml:space="preserve">згідно з </w:t>
      </w:r>
      <w:r>
        <w:rPr>
          <w:rFonts w:eastAsia="Times New Roman" w:ascii="Times New Roman" w:hAnsi="Times New Roman"/>
          <w:sz w:val="24"/>
          <w:szCs w:val="24"/>
        </w:rPr>
        <w:t>умовами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ascii="Times New Roman" w:hAnsi="Times New Roman"/>
          <w:sz w:val="24"/>
          <w:szCs w:val="24"/>
        </w:rPr>
        <w:t>Вивчивши оголошення про проведення відкритих торгів з особливостями,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оголошенні про проведення відкритих торгів з особливостями за ціною, що наведена нижче.</w:t>
      </w:r>
    </w:p>
    <w:tbl>
      <w:tblPr>
        <w:tblW w:w="10916" w:type="dxa"/>
        <w:jc w:val="left"/>
        <w:tblInd w:w="-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3"/>
        <w:gridCol w:w="5386"/>
        <w:gridCol w:w="1141"/>
        <w:gridCol w:w="719"/>
        <w:gridCol w:w="1410"/>
        <w:gridCol w:w="1560"/>
        <w:gridCol w:w="26"/>
      </w:tblGrid>
      <w:tr>
        <w:trPr>
          <w:trHeight w:val="101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Ціна за одиницю з ПДВ / без ПДВ, грн.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Загальна сума,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грн.</w:t>
            </w:r>
          </w:p>
          <w:p>
            <w:pPr>
              <w:pStyle w:val="Normal"/>
              <w:widowControl w:val="false"/>
              <w:spacing w:before="0" w:after="160"/>
              <w:ind w:left="50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 ПДВ / без ПДВ, грн.</w:t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ослуги із благоустрою населених пунктів, а саме: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ar-SA"/>
              </w:rPr>
              <w:t>облаштування “Алеї Слави загиблих воїнів”в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с. Вигода Вигодянської сільської ради Одеського району Одеської області, код ДК 021:2015 –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ar-SA"/>
              </w:rPr>
              <w:t>45110000-1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ar-SA"/>
              </w:rPr>
              <w:t>Руйнування та знесення будівель і земляні роботи.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послуга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Сума без ПДВ: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 w:eastAsia="Times New Roman"/>
          <w:bCs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Посада, прізвище, ініціали, підпис уповноваженої особи Учасника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426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81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semiHidden/>
    <w:unhideWhenUsed/>
    <w:rsid w:val="0077185f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dab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9"/>
    <w:uiPriority w:val="99"/>
    <w:semiHidden/>
    <w:qFormat/>
    <w:rsid w:val="00172dab"/>
    <w:rPr>
      <w:sz w:val="20"/>
      <w:szCs w:val="20"/>
    </w:rPr>
  </w:style>
  <w:style w:type="character" w:styleId="Style10" w:customStyle="1">
    <w:name w:val="Тема примечания Знак"/>
    <w:basedOn w:val="Style9"/>
    <w:link w:val="ab"/>
    <w:uiPriority w:val="99"/>
    <w:semiHidden/>
    <w:qFormat/>
    <w:rsid w:val="00172dab"/>
    <w:rPr>
      <w:b/>
      <w:bCs/>
      <w:sz w:val="20"/>
      <w:szCs w:val="20"/>
    </w:rPr>
  </w:style>
  <w:style w:type="character" w:styleId="Style11" w:customStyle="1">
    <w:name w:val="Текст выноски Знак"/>
    <w:basedOn w:val="DefaultParagraphFont"/>
    <w:link w:val="ad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character" w:styleId="Style12">
    <w:name w:val="Название Знак"/>
    <w:qFormat/>
    <w:rPr>
      <w:b/>
      <w:sz w:val="32"/>
      <w:lang w:val="uk-UA"/>
    </w:rPr>
  </w:style>
  <w:style w:type="character" w:styleId="31">
    <w:name w:val="Заголовок 3 Знак"/>
    <w:qFormat/>
    <w:rPr>
      <w:rFonts w:eastAsia="Calibri"/>
      <w:bCs/>
      <w:szCs w:val="27"/>
      <w:lang w:eastAsia="uk-UA"/>
    </w:rPr>
  </w:style>
  <w:style w:type="character" w:styleId="Style13">
    <w:name w:val="Основной текст + Полужирный"/>
    <w:qFormat/>
    <w:rPr>
      <w:rFonts w:ascii="Times New Roman" w:hAnsi="Times New Roman" w:eastAsia="Times New Roman"/>
      <w:sz w:val="23"/>
      <w:shd w:fill="FFFFFF" w:val="clear"/>
    </w:rPr>
  </w:style>
  <w:style w:type="character" w:styleId="HTML">
    <w:name w:val="Стандартный HTML Знак"/>
    <w:qFormat/>
    <w:rPr>
      <w:rFonts w:ascii="Courier New" w:hAnsi="Courier New" w:eastAsia="Courier New"/>
      <w:color w:val="000000"/>
      <w:sz w:val="21"/>
      <w:szCs w:val="21"/>
      <w:lang w:val="uk-UA" w:eastAsia="ar-SA"/>
    </w:rPr>
  </w:style>
  <w:style w:type="character" w:styleId="Style14">
    <w:name w:val="Обычный (веб) Знак"/>
    <w:qFormat/>
    <w:rPr>
      <w:sz w:val="24"/>
      <w:lang w:val="uk-UA"/>
    </w:rPr>
  </w:style>
  <w:style w:type="character" w:styleId="Style15">
    <w:name w:val="Основной шрифт абзаца"/>
    <w:qFormat/>
    <w:rPr/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1z1">
    <w:name w:val="WW8Num11z1"/>
    <w:qFormat/>
    <w:rPr>
      <w:rFonts w:ascii="Times New Roman" w:hAnsi="Times New Roman" w:eastAsia="Times New Roman"/>
    </w:rPr>
  </w:style>
  <w:style w:type="character" w:styleId="WW8Num11z0">
    <w:name w:val="WW8Num11z0"/>
    <w:qFormat/>
    <w:rPr>
      <w:rFonts w:eastAsia="Times New Roman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eastAsia="Times New Roman"/>
    </w:rPr>
  </w:style>
  <w:style w:type="character" w:styleId="WW8Num9z0">
    <w:name w:val="WW8Num9z0"/>
    <w:qFormat/>
    <w:rPr>
      <w:rFonts w:eastAsia="Times New Roman"/>
      <w:color w:val="000000"/>
      <w:szCs w:val="23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Times New Roman" w:hAnsi="Times New Roman" w:eastAsia="Times New Roman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2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d506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172d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172dab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172d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qFormat/>
    <w:rsid w:val="00e233b6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362c7"/>
    <w:pPr>
      <w:spacing w:before="0" w:after="160"/>
      <w:ind w:left="720" w:hanging="0"/>
      <w:contextualSpacing/>
    </w:pPr>
    <w:rPr/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uk-UA" w:eastAsia="hi-IN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/>
      <w:color w:val="000000"/>
      <w:sz w:val="18"/>
      <w:szCs w:val="18"/>
      <w:lang w:eastAsia="ar-SA"/>
    </w:rPr>
  </w:style>
  <w:style w:type="paragraph" w:styleId="Style23">
    <w:name w:val="Абзац списка"/>
    <w:basedOn w:val="Normal"/>
    <w:qFormat/>
    <w:pPr>
      <w:suppressAutoHyphens w:val="true"/>
      <w:spacing w:before="0" w:after="200"/>
      <w:ind w:left="720" w:hanging="0"/>
      <w:contextualSpacing/>
    </w:pPr>
    <w:rPr>
      <w:color w:val="00000A"/>
      <w:lang w:val="uk-UA"/>
    </w:rPr>
  </w:style>
  <w:style w:type="paragraph" w:styleId="Style24">
    <w:name w:val="Текст выноски"/>
    <w:basedOn w:val="Normal"/>
    <w:qFormat/>
    <w:pPr/>
    <w:rPr>
      <w:rFonts w:ascii="Arial" w:hAnsi="Arial" w:eastAsia="Arial"/>
      <w:sz w:val="16"/>
      <w:szCs w:val="16"/>
      <w:lang w:val="uk-UA" w:eastAsia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0"/>
      <w:lang w:val="ru-RU" w:eastAsia="ar-SA" w:bidi="ar-SA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sz w:val="21"/>
      <w:szCs w:val="21"/>
      <w:lang w:val="uk-UA" w:eastAsia="ar-SA"/>
    </w:rPr>
  </w:style>
  <w:style w:type="paragraph" w:styleId="Style25">
    <w:name w:val="Обычный (веб)"/>
    <w:basedOn w:val="Normal"/>
    <w:qFormat/>
    <w:pPr>
      <w:spacing w:before="280" w:after="280"/>
    </w:pPr>
    <w:rPr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Pages>4</Pages>
  <Words>1034</Words>
  <Characters>6790</Characters>
  <CharactersWithSpaces>7946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dc:description/>
  <dc:language>uk-UA</dc:language>
  <cp:lastModifiedBy/>
  <dcterms:modified xsi:type="dcterms:W3CDTF">2024-03-11T15:31:00Z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