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89"/>
      </w:tblGrid>
      <w:tr w:rsidR="00C75F41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bookmarkEnd w:id="1"/>
            <w:r>
              <w:rPr>
                <w:rStyle w:val="spanrvts0"/>
                <w:noProof/>
                <w:lang w:val="ru-RU" w:eastAsia="ru-RU"/>
              </w:rPr>
              <w:drawing>
                <wp:inline distT="0" distB="0" distL="0" distR="0" wp14:anchorId="76313310" wp14:editId="5880D782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F41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"/>
              <w:spacing w:before="150"/>
              <w:rPr>
                <w:rStyle w:val="spanrvts0"/>
                <w:lang w:val="uk" w:eastAsia="uk"/>
              </w:rPr>
            </w:pPr>
            <w:r>
              <w:rPr>
                <w:rStyle w:val="spanrvts15"/>
                <w:lang w:val="uk" w:eastAsia="uk"/>
              </w:rPr>
              <w:t>АНТИМОНОПОЛЬНИЙ КОМІТЕТ УКРАЇНИ</w:t>
            </w:r>
          </w:p>
        </w:tc>
      </w:tr>
      <w:tr w:rsidR="00C75F41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23"/>
                <w:lang w:val="uk" w:eastAsia="uk"/>
              </w:rPr>
              <w:t>РОЗПОРЯДЖЕННЯ</w:t>
            </w:r>
          </w:p>
        </w:tc>
      </w:tr>
      <w:tr w:rsidR="00C75F41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28.11.2012 № 874-р</w:t>
            </w:r>
          </w:p>
        </w:tc>
      </w:tr>
    </w:tbl>
    <w:p w:rsidR="00C75F41" w:rsidRDefault="00C75F41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C75F41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F41" w:rsidRDefault="00C75F4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" w:name="n3"/>
            <w:bookmarkEnd w:id="2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Зареєстровано в Міністерстві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юстиції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19 грудня 2012 р.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за № 2119/22431</w:t>
            </w:r>
          </w:p>
        </w:tc>
      </w:tr>
    </w:tbl>
    <w:p w:rsidR="00C75F41" w:rsidRDefault="005F4D31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3" w:name="n4"/>
      <w:bookmarkEnd w:id="3"/>
      <w:r>
        <w:rPr>
          <w:rStyle w:val="spanrvts23"/>
          <w:lang w:val="uk" w:eastAsia="uk"/>
        </w:rPr>
        <w:t>Про затвердження Порядку складання та ведення зведеного переліку суб’єктів природних монополій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4" w:name="n5"/>
      <w:bookmarkEnd w:id="4"/>
      <w:r>
        <w:rPr>
          <w:rStyle w:val="spanrvts0"/>
          <w:lang w:val="uk" w:eastAsia="uk"/>
        </w:rPr>
        <w:t xml:space="preserve">Відповідно до пункту 11 частини третьої статті 7 </w:t>
      </w:r>
      <w:hyperlink r:id="rId7" w:tgtFrame="_blank" w:history="1">
        <w:r>
          <w:rPr>
            <w:rStyle w:val="arvts96"/>
            <w:lang w:val="uk" w:eastAsia="uk"/>
          </w:rPr>
          <w:t>Закону України «Про Антимонопольний комітет України»</w:t>
        </w:r>
      </w:hyperlink>
      <w:r>
        <w:rPr>
          <w:rStyle w:val="spanrvts0"/>
          <w:lang w:val="uk" w:eastAsia="uk"/>
        </w:rPr>
        <w:t xml:space="preserve">, з метою запровадження механізму реалізації частини другої статті 5 </w:t>
      </w:r>
      <w:hyperlink r:id="rId8" w:tgtFrame="_blank" w:history="1">
        <w:r>
          <w:rPr>
            <w:rStyle w:val="arvts96"/>
            <w:lang w:val="uk" w:eastAsia="uk"/>
          </w:rPr>
          <w:t>Закону України «Про природні монополії»</w:t>
        </w:r>
      </w:hyperlink>
      <w:r>
        <w:rPr>
          <w:rStyle w:val="spanrvts0"/>
          <w:lang w:val="uk" w:eastAsia="uk"/>
        </w:rPr>
        <w:t xml:space="preserve"> Антимонопольний комітет України </w:t>
      </w:r>
      <w:r>
        <w:rPr>
          <w:rStyle w:val="spanrvts52"/>
          <w:lang w:val="uk" w:eastAsia="uk"/>
        </w:rPr>
        <w:t>ПОСТАНОВИВ: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5" w:name="n6"/>
      <w:bookmarkEnd w:id="5"/>
      <w:r>
        <w:rPr>
          <w:rStyle w:val="spanrvts0"/>
          <w:lang w:val="uk" w:eastAsia="uk"/>
        </w:rPr>
        <w:t xml:space="preserve">1. Затвердити </w:t>
      </w:r>
      <w:hyperlink w:anchor="n13" w:history="1">
        <w:r>
          <w:rPr>
            <w:rStyle w:val="arvts99"/>
            <w:lang w:val="uk" w:eastAsia="uk"/>
          </w:rPr>
          <w:t>Порядок складання та ведення зведеного переліку суб’єктів природних монополій</w:t>
        </w:r>
      </w:hyperlink>
      <w:r>
        <w:rPr>
          <w:rStyle w:val="spanrvts0"/>
          <w:lang w:val="uk" w:eastAsia="uk"/>
        </w:rPr>
        <w:t>, що додається.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6" w:name="n7"/>
      <w:bookmarkEnd w:id="6"/>
      <w:r>
        <w:rPr>
          <w:rStyle w:val="spanrvts0"/>
          <w:lang w:val="uk" w:eastAsia="uk"/>
        </w:rPr>
        <w:t>2. Управлінню конкурентної політики та міжнародного співробітництва подати це розпорядження на державну реєстрацію до Міністерства юстиції України в установленому порядку.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7" w:name="n8"/>
      <w:bookmarkEnd w:id="7"/>
      <w:r>
        <w:rPr>
          <w:rStyle w:val="spanrvts0"/>
          <w:lang w:val="uk" w:eastAsia="uk"/>
        </w:rPr>
        <w:t xml:space="preserve">3. Визнати таким, що втратило чинність, </w:t>
      </w:r>
      <w:hyperlink r:id="rId9" w:tgtFrame="_blank" w:history="1">
        <w:r>
          <w:rPr>
            <w:rStyle w:val="arvts96"/>
            <w:lang w:val="uk" w:eastAsia="uk"/>
          </w:rPr>
          <w:t>розпорядження Антимонопольного комітету України від 12 грудня 2006 року № 537-р</w:t>
        </w:r>
      </w:hyperlink>
      <w:r>
        <w:rPr>
          <w:rStyle w:val="spanrvts0"/>
          <w:lang w:val="uk" w:eastAsia="uk"/>
        </w:rPr>
        <w:t xml:space="preserve"> «Про затвердження Положення про складання та ведення переліку суб’єктів природних монополій», зареєстроване в Міністерстві юстиції України 26 грудня 2006 року за №1358/13232.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8" w:name="n9"/>
      <w:bookmarkEnd w:id="8"/>
      <w:r>
        <w:rPr>
          <w:rStyle w:val="spanrvts0"/>
          <w:lang w:val="uk" w:eastAsia="uk"/>
        </w:rPr>
        <w:t xml:space="preserve">4. Це розпорядження набирає чинності одночасно з набранням чинності </w:t>
      </w:r>
      <w:hyperlink r:id="rId10" w:tgtFrame="_blank" w:history="1">
        <w:r>
          <w:rPr>
            <w:rStyle w:val="arvts96"/>
            <w:lang w:val="uk" w:eastAsia="uk"/>
          </w:rPr>
          <w:t>Законом України від 7 червня 2012 року № 4910-VI</w:t>
        </w:r>
      </w:hyperlink>
      <w:r>
        <w:rPr>
          <w:rStyle w:val="spanrvts0"/>
          <w:lang w:val="uk" w:eastAsia="uk"/>
        </w:rPr>
        <w:t xml:space="preserve"> «Про внесення змін до деяких законодавчих актів України щодо розмежування повноважень державних органів у сферах природних монополій та у галузі зв’язку», але не раніше дня його офіційного опублікування.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C75F4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9" w:name="n10"/>
            <w:bookmarkEnd w:id="9"/>
            <w:r>
              <w:rPr>
                <w:rStyle w:val="spanrvts44"/>
                <w:lang w:val="uk" w:eastAsia="uk"/>
              </w:rPr>
              <w:t>В.о. Голови Комітету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Р.І. Кузьмін</w:t>
            </w:r>
          </w:p>
        </w:tc>
      </w:tr>
    </w:tbl>
    <w:p w:rsidR="00C75F41" w:rsidRDefault="00C75F41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C75F41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0" w:name="n40"/>
            <w:bookmarkEnd w:id="10"/>
            <w:r>
              <w:rPr>
                <w:rStyle w:val="spanrvts0"/>
                <w:lang w:val="uk" w:eastAsia="uk"/>
              </w:rPr>
              <w:lastRenderedPageBreak/>
              <w:t>ПОГОДЖЕНО:</w:t>
            </w:r>
          </w:p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Голова Національної комісії, </w:t>
            </w:r>
            <w:r>
              <w:rPr>
                <w:rStyle w:val="spanrvts0"/>
                <w:lang w:val="uk" w:eastAsia="uk"/>
              </w:rPr>
              <w:br/>
              <w:t xml:space="preserve">що здійснює державне регулювання </w:t>
            </w:r>
            <w:r>
              <w:rPr>
                <w:rStyle w:val="spanrvts0"/>
                <w:lang w:val="uk" w:eastAsia="uk"/>
              </w:rPr>
              <w:br/>
              <w:t>у сфері комунальних услуг</w:t>
            </w:r>
          </w:p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Міністр регіонального розвитку, будівництва </w:t>
            </w:r>
            <w:r>
              <w:rPr>
                <w:rStyle w:val="spanrvts0"/>
                <w:lang w:val="uk" w:eastAsia="uk"/>
              </w:rPr>
              <w:br/>
              <w:t>та житлово-комунального господарства України</w:t>
            </w:r>
          </w:p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В.о. Міністра інфраструктури України</w:t>
            </w:r>
          </w:p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Голова Національної комісії, </w:t>
            </w:r>
            <w:r>
              <w:rPr>
                <w:rStyle w:val="spanrvts0"/>
                <w:lang w:val="uk" w:eastAsia="uk"/>
              </w:rPr>
              <w:br/>
              <w:t xml:space="preserve">що здійснює державне регулювання </w:t>
            </w:r>
            <w:r>
              <w:rPr>
                <w:rStyle w:val="spanrvts0"/>
                <w:lang w:val="uk" w:eastAsia="uk"/>
              </w:rPr>
              <w:br/>
              <w:t>у сфері енергетики</w:t>
            </w:r>
          </w:p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Міністр енергетики </w:t>
            </w:r>
            <w:r>
              <w:rPr>
                <w:rStyle w:val="spanrvts0"/>
                <w:lang w:val="uk" w:eastAsia="uk"/>
              </w:rPr>
              <w:br/>
              <w:t>та вугільної промисловості України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C75F41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</w:p>
          <w:p w:rsidR="00C75F41" w:rsidRDefault="005F4D31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>В. Саратов</w:t>
            </w:r>
          </w:p>
          <w:p w:rsidR="00C75F41" w:rsidRDefault="005F4D31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  <w:t>А.М. Близнюк</w:t>
            </w:r>
          </w:p>
          <w:p w:rsidR="00C75F41" w:rsidRDefault="005F4D31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К. Єфименко</w:t>
            </w:r>
          </w:p>
          <w:p w:rsidR="00C75F41" w:rsidRDefault="005F4D31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>С. Тітенко</w:t>
            </w:r>
          </w:p>
          <w:p w:rsidR="00C75F41" w:rsidRDefault="005F4D31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  <w:t>Ю. Бойко</w:t>
            </w:r>
          </w:p>
        </w:tc>
      </w:tr>
    </w:tbl>
    <w:p w:rsidR="00C75F41" w:rsidRDefault="00FA0D00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5" style="width:0;height:.75pt" o:hrpct="0" o:hrstd="t" o:hr="t" fillcolor="gray" stroked="f">
            <v:path strokeok="f"/>
          </v:rect>
        </w:pict>
      </w:r>
      <w:bookmarkStart w:id="11" w:name="n35"/>
      <w:bookmarkEnd w:id="11"/>
    </w:p>
    <w:p w:rsidR="00C75F41" w:rsidRDefault="00C75F41">
      <w:pPr>
        <w:pStyle w:val="rvps8"/>
        <w:spacing w:before="240" w:after="150"/>
        <w:rPr>
          <w:rStyle w:val="spanrvts0"/>
          <w:lang w:val="uk" w:eastAsia="uk"/>
        </w:rPr>
      </w:pPr>
      <w:bookmarkStart w:id="12" w:name="n34"/>
      <w:bookmarkEnd w:id="12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C75F41" w:rsidRPr="005F4D31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F41" w:rsidRDefault="00C75F4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3" w:name="n11"/>
            <w:bookmarkEnd w:id="13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ЗАТВЕРДЖЕНО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Розпорядження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Антимонопольного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комітету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28.11.2012 № 874-р</w:t>
            </w:r>
          </w:p>
        </w:tc>
      </w:tr>
    </w:tbl>
    <w:p w:rsidR="00C75F41" w:rsidRPr="005F4D31" w:rsidRDefault="00C75F41">
      <w:pPr>
        <w:rPr>
          <w:vanish/>
          <w:lang w:val="ru-RU"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C75F41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F41" w:rsidRDefault="00C75F4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4" w:name="n12"/>
            <w:bookmarkEnd w:id="14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Зареєстровано в Міністерстві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юстиції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19 грудня 2012 р.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за № 2119/22431</w:t>
            </w:r>
          </w:p>
        </w:tc>
      </w:tr>
    </w:tbl>
    <w:p w:rsidR="00C75F41" w:rsidRDefault="005F4D31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15" w:name="n13"/>
      <w:bookmarkEnd w:id="15"/>
      <w:r>
        <w:rPr>
          <w:rStyle w:val="spanrvts23"/>
          <w:lang w:val="uk" w:eastAsia="uk"/>
        </w:rPr>
        <w:t xml:space="preserve">ПОРЯДОК </w:t>
      </w:r>
      <w:r>
        <w:rPr>
          <w:rStyle w:val="spanrvts23"/>
          <w:lang w:val="uk" w:eastAsia="uk"/>
        </w:rPr>
        <w:br/>
        <w:t>складання та ведення зведеного переліку суб’єктів природних монополій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16" w:name="n14"/>
      <w:bookmarkEnd w:id="16"/>
      <w:r>
        <w:rPr>
          <w:rStyle w:val="spanrvts0"/>
          <w:lang w:val="uk" w:eastAsia="uk"/>
        </w:rPr>
        <w:t xml:space="preserve">1. Цим Порядком визначається порядок складання та ведення Антимонопольним комітетом України (далі - Комітет) зведеного переліку суб'єктів природних монополій (далі - Зведений перелік) з метою виконання положень </w:t>
      </w:r>
      <w:hyperlink r:id="rId11" w:tgtFrame="_blank" w:history="1">
        <w:r>
          <w:rPr>
            <w:rStyle w:val="arvts96"/>
            <w:lang w:val="uk" w:eastAsia="uk"/>
          </w:rPr>
          <w:t>Закону України «Про природні монополії»</w:t>
        </w:r>
      </w:hyperlink>
      <w:r>
        <w:rPr>
          <w:rStyle w:val="spanrvts0"/>
          <w:lang w:val="uk" w:eastAsia="uk"/>
        </w:rPr>
        <w:t>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17" w:name="n15"/>
      <w:bookmarkEnd w:id="17"/>
      <w:r>
        <w:rPr>
          <w:rStyle w:val="spanrvts0"/>
          <w:lang w:val="uk" w:eastAsia="uk"/>
        </w:rPr>
        <w:t>2. До Зведеного переліку включаються суб'єкти господарювання (юридичні особи), які виробляють (реалізують) товари на ринках, що перебувають у стані природної монополії та включені до реєстрів суб’єктів природних монополій у відповідних сферах органами, що здійснюють державне регулювання у сфері природних монополій.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18" w:name="n16"/>
      <w:bookmarkEnd w:id="18"/>
      <w:r>
        <w:rPr>
          <w:rStyle w:val="spanrvts0"/>
          <w:lang w:val="uk" w:eastAsia="uk"/>
        </w:rPr>
        <w:t>3. Складання та ведення Зведеного переліку здійснюються Комітетом на підставі реєстрів суб’єктів природних монополій (далі - Реєстр) у сфері житлово-комунального господарства, що формуються національною комісією,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19" w:name="n17"/>
      <w:bookmarkEnd w:id="19"/>
      <w:r>
        <w:rPr>
          <w:rStyle w:val="spanrvts0"/>
          <w:lang w:val="uk" w:eastAsia="uk"/>
        </w:rPr>
        <w:t>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20" w:name="n18"/>
      <w:bookmarkEnd w:id="20"/>
      <w:r>
        <w:rPr>
          <w:rStyle w:val="spanrvts0"/>
          <w:lang w:val="uk" w:eastAsia="uk"/>
        </w:rPr>
        <w:t>4. Внесення суб'єктів природних монополій до Зведеного переліку здійснюється Комітетом на підставі реєстрів, отриманих від: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21" w:name="n19"/>
      <w:bookmarkEnd w:id="21"/>
      <w:r>
        <w:rPr>
          <w:rStyle w:val="spanrvts0"/>
          <w:lang w:val="uk" w:eastAsia="uk"/>
        </w:rPr>
        <w:t>Міністерства інфраструктури України (у сферах: користування залізничними коліями, диспетчерськими службами, вокзалами та іншими об’єктами інфраструктури, що забезпечують рух залізничного транспорту загального користування; управління повітряним рухом; спеціалізованих послуг транспортних терміналів, портів, аеропортів);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22" w:name="n20"/>
      <w:bookmarkEnd w:id="22"/>
      <w:r>
        <w:rPr>
          <w:rStyle w:val="spanrvts0"/>
          <w:lang w:val="uk" w:eastAsia="uk"/>
        </w:rPr>
        <w:t xml:space="preserve">Національної комісії, що здійснює державне регулювання у сфері енергетики (у сферах: транспортування нафти і нафтопродуктів трубопроводами; транспортування природного і нафтового газу трубопроводами; розподілу природного і нафтового газу трубопроводами; </w:t>
      </w:r>
      <w:r>
        <w:rPr>
          <w:rStyle w:val="spanrvts0"/>
          <w:lang w:val="uk" w:eastAsia="uk"/>
        </w:rPr>
        <w:lastRenderedPageBreak/>
        <w:t>зберігання природного газу в обсягах, що перевищують рівень, який встановлюється умовами та правилами здійснення підприємницької діяльності зі зберігання природного газу (ліцензійними умовами); транспортування інших речовин трубопровідним транспортом; передачі електричної енергії магістральними та міждержавними електричними мережами; розподілу електричної енергії (передачі електричної енергії місцевими (локальними) електромережами);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23" w:name="n21"/>
      <w:bookmarkEnd w:id="23"/>
      <w:r>
        <w:rPr>
          <w:rStyle w:val="spanrvts0"/>
          <w:lang w:val="uk" w:eastAsia="uk"/>
        </w:rPr>
        <w:t>Національної комісії, що здійснює державне регулювання у сфері комунальних послуг (у сфері: централізованого водопостачання та водовідведення; транспортування теплової енергії).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24" w:name="n22"/>
      <w:bookmarkEnd w:id="24"/>
      <w:r>
        <w:rPr>
          <w:rStyle w:val="spanrvts0"/>
          <w:lang w:val="uk" w:eastAsia="uk"/>
        </w:rPr>
        <w:t xml:space="preserve">5. </w:t>
      </w:r>
      <w:hyperlink w:anchor="n27" w:history="1">
        <w:r>
          <w:rPr>
            <w:rStyle w:val="arvts99"/>
            <w:lang w:val="uk" w:eastAsia="uk"/>
          </w:rPr>
          <w:t>Реєстри суб’єктів природних монополій</w:t>
        </w:r>
      </w:hyperlink>
      <w:r>
        <w:rPr>
          <w:rStyle w:val="spanrvts0"/>
          <w:lang w:val="uk" w:eastAsia="uk"/>
        </w:rPr>
        <w:t xml:space="preserve"> складаються за формою, наведеною в додатку 1 до цього Порядку, та подаються до Комітету щомісяця до 10 числа в електронному та паперовому вигляді. Зазначені Реєстри містять інформацію про суб’єктів природних монополій, внесених до реєстру станом на останній день місяця, що передує місяцю подання реєстрів до Комітету.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25" w:name="n23"/>
      <w:bookmarkEnd w:id="25"/>
      <w:r>
        <w:rPr>
          <w:rStyle w:val="spanrvts0"/>
          <w:lang w:val="uk" w:eastAsia="uk"/>
        </w:rPr>
        <w:t xml:space="preserve">6. </w:t>
      </w:r>
      <w:hyperlink w:anchor="n31" w:history="1">
        <w:r>
          <w:rPr>
            <w:rStyle w:val="arvts99"/>
            <w:lang w:val="uk" w:eastAsia="uk"/>
          </w:rPr>
          <w:t>Зведений перелік суб’єктів природних монополій</w:t>
        </w:r>
      </w:hyperlink>
      <w:r>
        <w:rPr>
          <w:rStyle w:val="spanrvts0"/>
          <w:lang w:val="uk" w:eastAsia="uk"/>
        </w:rPr>
        <w:t xml:space="preserve"> складається за формою, наведеною в додатку 2 до цього Порядку, та ведеться Комітетом в електронному вигляді.</w:t>
      </w:r>
    </w:p>
    <w:p w:rsidR="00C75F41" w:rsidRDefault="005F4D31">
      <w:pPr>
        <w:pStyle w:val="rvps2"/>
        <w:spacing w:after="150"/>
        <w:rPr>
          <w:rStyle w:val="spanrvts0"/>
          <w:lang w:val="uk" w:eastAsia="uk"/>
        </w:rPr>
      </w:pPr>
      <w:bookmarkStart w:id="26" w:name="n24"/>
      <w:bookmarkEnd w:id="26"/>
      <w:r>
        <w:rPr>
          <w:rStyle w:val="spanrvts0"/>
          <w:lang w:val="uk" w:eastAsia="uk"/>
        </w:rPr>
        <w:t>7. Зведений перелік суб’єктів природних монополій розміщується щомісяця до 20 числа на офіційному веб-сайті Антимонопольного комітету України (http://www.amc.gov.ua).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C75F4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27" w:name="n25"/>
            <w:bookmarkEnd w:id="27"/>
            <w:r>
              <w:rPr>
                <w:rStyle w:val="spanrvts44"/>
                <w:lang w:val="uk" w:eastAsia="uk"/>
              </w:rPr>
              <w:t>Заступник начальника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Управління конкурентної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політики та міжнародного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співробітництва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Л.Ф. Ляшенко</w:t>
            </w:r>
          </w:p>
        </w:tc>
      </w:tr>
    </w:tbl>
    <w:p w:rsidR="00C75F41" w:rsidRDefault="00FA0D00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6" style="width:0;height:.75pt" o:hrpct="0" o:hrstd="t" o:hr="t" fillcolor="gray" stroked="f">
            <v:path strokeok="f"/>
          </v:rect>
        </w:pict>
      </w:r>
      <w:bookmarkStart w:id="28" w:name="n37"/>
      <w:bookmarkEnd w:id="28"/>
    </w:p>
    <w:p w:rsidR="00C75F41" w:rsidRDefault="00C75F41">
      <w:pPr>
        <w:pStyle w:val="rvps8"/>
        <w:spacing w:before="240" w:after="150"/>
        <w:rPr>
          <w:rStyle w:val="spanrvts0"/>
          <w:lang w:val="uk" w:eastAsia="uk"/>
        </w:rPr>
      </w:pPr>
      <w:bookmarkStart w:id="29" w:name="n36"/>
      <w:bookmarkEnd w:id="29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C75F41" w:rsidRPr="005F4D31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F41" w:rsidRDefault="00C75F4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0" w:name="n26"/>
            <w:bookmarkEnd w:id="30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 </w:t>
            </w:r>
            <w:r>
              <w:rPr>
                <w:rStyle w:val="spanrvts0"/>
                <w:lang w:val="uk" w:eastAsia="uk"/>
              </w:rPr>
              <w:br/>
              <w:t xml:space="preserve">до Порядку складання та ведення </w:t>
            </w:r>
            <w:r>
              <w:rPr>
                <w:rStyle w:val="spanrvts0"/>
                <w:lang w:val="uk" w:eastAsia="uk"/>
              </w:rPr>
              <w:br/>
              <w:t xml:space="preserve">зведеного переліку суб’єктів </w:t>
            </w:r>
            <w:r>
              <w:rPr>
                <w:rStyle w:val="spanrvts0"/>
                <w:lang w:val="uk" w:eastAsia="uk"/>
              </w:rPr>
              <w:br/>
              <w:t>природних монополій</w:t>
            </w:r>
          </w:p>
        </w:tc>
      </w:tr>
    </w:tbl>
    <w:p w:rsidR="00C75F41" w:rsidRDefault="005F4D31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31" w:name="n27"/>
      <w:bookmarkEnd w:id="31"/>
      <w:r>
        <w:rPr>
          <w:rStyle w:val="spanrvts15"/>
          <w:lang w:val="uk" w:eastAsia="uk"/>
        </w:rPr>
        <w:t xml:space="preserve">РЕЄСТР </w:t>
      </w:r>
      <w:r>
        <w:rPr>
          <w:rStyle w:val="spanrvts15"/>
          <w:lang w:val="uk" w:eastAsia="uk"/>
        </w:rPr>
        <w:br/>
        <w:t xml:space="preserve">суб'єктів природних монополій у сфері _______ </w:t>
      </w:r>
      <w:r>
        <w:rPr>
          <w:rStyle w:val="spanrvts15"/>
          <w:lang w:val="uk" w:eastAsia="uk"/>
        </w:rPr>
        <w:br/>
        <w:t>станом на ______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371"/>
        <w:gridCol w:w="1508"/>
        <w:gridCol w:w="1508"/>
        <w:gridCol w:w="1561"/>
        <w:gridCol w:w="679"/>
        <w:gridCol w:w="662"/>
        <w:gridCol w:w="1356"/>
        <w:gridCol w:w="993"/>
        <w:gridCol w:w="1187"/>
      </w:tblGrid>
      <w:tr w:rsidR="00C75F41" w:rsidRPr="005F4D31">
        <w:trPr>
          <w:trHeight w:val="495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32" w:name="n28"/>
            <w:bookmarkEnd w:id="32"/>
            <w:r>
              <w:rPr>
                <w:rStyle w:val="spanrvts82"/>
                <w:lang w:val="uk" w:eastAsia="uk"/>
              </w:rPr>
              <w:t>№ з/п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Код за ЄДРПОУ суб'єкта господарювання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Найменування суб'єкта господарювання</w:t>
            </w: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Місцезнаходження суб’єкта природних монополій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Найменування товару (товарної групи)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Територія діяльності суб’єкта природної монополії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Національна комісія або інший орган, що склав та веде цей реєстр</w:t>
            </w:r>
          </w:p>
        </w:tc>
      </w:tr>
      <w:tr w:rsidR="00C75F41">
        <w:trPr>
          <w:trHeight w:val="6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адміністративно-територіальна одиниця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адреса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індекс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</w:tr>
      <w:tr w:rsidR="00C75F41">
        <w:trPr>
          <w:trHeight w:val="28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9</w:t>
            </w:r>
          </w:p>
        </w:tc>
      </w:tr>
      <w:tr w:rsidR="00C75F41">
        <w:trPr>
          <w:trHeight w:val="285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</w:tbl>
    <w:p w:rsidR="00C75F41" w:rsidRDefault="00C75F41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C75F4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33" w:name="n29"/>
            <w:bookmarkEnd w:id="33"/>
            <w:r>
              <w:rPr>
                <w:rStyle w:val="spanrvts44"/>
                <w:lang w:val="uk" w:eastAsia="uk"/>
              </w:rPr>
              <w:t>Заступник начальника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Управління конкурентної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політики та міжнародного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співробітництва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Л.Ф. Ляшенко</w:t>
            </w:r>
          </w:p>
        </w:tc>
      </w:tr>
    </w:tbl>
    <w:p w:rsidR="00C75F41" w:rsidRDefault="00FA0D00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7" style="width:0;height:.75pt" o:hrpct="0" o:hrstd="t" o:hr="t" fillcolor="gray" stroked="f">
            <v:path strokeok="f"/>
          </v:rect>
        </w:pict>
      </w:r>
      <w:bookmarkStart w:id="34" w:name="n39"/>
      <w:bookmarkEnd w:id="34"/>
    </w:p>
    <w:p w:rsidR="00C75F41" w:rsidRDefault="00C75F41">
      <w:pPr>
        <w:pStyle w:val="rvps8"/>
        <w:spacing w:before="240" w:after="150"/>
        <w:rPr>
          <w:rStyle w:val="spanrvts0"/>
          <w:lang w:val="uk" w:eastAsia="uk"/>
        </w:rPr>
      </w:pPr>
      <w:bookmarkStart w:id="35" w:name="n38"/>
      <w:bookmarkEnd w:id="35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29"/>
        <w:gridCol w:w="4560"/>
      </w:tblGrid>
      <w:tr w:rsidR="00C75F41" w:rsidRPr="005F4D31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F41" w:rsidRDefault="00C75F4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36" w:name="n30"/>
            <w:bookmarkEnd w:id="36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2 </w:t>
            </w:r>
            <w:r>
              <w:rPr>
                <w:rStyle w:val="spanrvts0"/>
                <w:lang w:val="uk" w:eastAsia="uk"/>
              </w:rPr>
              <w:br/>
              <w:t xml:space="preserve">до Порядку складання та ведення </w:t>
            </w:r>
            <w:r>
              <w:rPr>
                <w:rStyle w:val="spanrvts0"/>
                <w:lang w:val="uk" w:eastAsia="uk"/>
              </w:rPr>
              <w:br/>
              <w:t xml:space="preserve">зведеного переліку суб’єктів </w:t>
            </w:r>
            <w:r>
              <w:rPr>
                <w:rStyle w:val="spanrvts0"/>
                <w:lang w:val="uk" w:eastAsia="uk"/>
              </w:rPr>
              <w:br/>
              <w:t>природних монополій</w:t>
            </w:r>
          </w:p>
        </w:tc>
      </w:tr>
    </w:tbl>
    <w:p w:rsidR="00C75F41" w:rsidRDefault="005F4D31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37" w:name="n31"/>
      <w:bookmarkEnd w:id="37"/>
      <w:r>
        <w:rPr>
          <w:rStyle w:val="spanrvts15"/>
          <w:lang w:val="uk" w:eastAsia="uk"/>
        </w:rPr>
        <w:t xml:space="preserve">ЗВЕДЕНИЙ ПЕРЕЛІК </w:t>
      </w:r>
      <w:r>
        <w:rPr>
          <w:rStyle w:val="spanrvts15"/>
          <w:lang w:val="uk" w:eastAsia="uk"/>
        </w:rPr>
        <w:br/>
        <w:t xml:space="preserve">суб'єктів природних монополій </w:t>
      </w:r>
      <w:r>
        <w:rPr>
          <w:rStyle w:val="spanrvts15"/>
          <w:lang w:val="uk" w:eastAsia="uk"/>
        </w:rPr>
        <w:br/>
        <w:t>станом на ____________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371"/>
        <w:gridCol w:w="1508"/>
        <w:gridCol w:w="1508"/>
        <w:gridCol w:w="1561"/>
        <w:gridCol w:w="679"/>
        <w:gridCol w:w="662"/>
        <w:gridCol w:w="1356"/>
        <w:gridCol w:w="993"/>
        <w:gridCol w:w="1187"/>
      </w:tblGrid>
      <w:tr w:rsidR="00C75F41" w:rsidRPr="005F4D31">
        <w:trPr>
          <w:trHeight w:val="495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38" w:name="n32"/>
            <w:bookmarkEnd w:id="38"/>
            <w:r>
              <w:rPr>
                <w:rStyle w:val="spanrvts82"/>
                <w:lang w:val="uk" w:eastAsia="uk"/>
              </w:rPr>
              <w:t>№ з/п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Код за ЄДРПОУ суб'єкта господарювання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Найменування суб'єкта господарювання</w:t>
            </w: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Місцезнаходження суб’єкта природних монополій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Найменування товару (товарної групи)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Територія діяльності суб’єкта природної монополії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Національна комісія або інший орган, що склав та веде цей реєстр</w:t>
            </w:r>
          </w:p>
        </w:tc>
      </w:tr>
      <w:tr w:rsidR="00C75F41">
        <w:trPr>
          <w:trHeight w:val="64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адміністративно-територіальна одиниця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адреса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індекс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F41" w:rsidRDefault="00C75F41">
            <w:pPr>
              <w:rPr>
                <w:rStyle w:val="spanrvts82"/>
                <w:lang w:val="uk" w:eastAsia="uk"/>
              </w:rPr>
            </w:pPr>
          </w:p>
        </w:tc>
      </w:tr>
      <w:tr w:rsidR="00C75F41">
        <w:trPr>
          <w:trHeight w:val="240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75F41" w:rsidRDefault="005F4D3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82"/>
                <w:lang w:val="uk" w:eastAsia="uk"/>
              </w:rPr>
              <w:t>9</w:t>
            </w:r>
          </w:p>
        </w:tc>
      </w:tr>
      <w:tr w:rsidR="00C75F41">
        <w:trPr>
          <w:trHeight w:val="240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5F41" w:rsidRDefault="00C75F41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</w:tbl>
    <w:p w:rsidR="00C75F41" w:rsidRDefault="00C75F41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C75F41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39" w:name="n33"/>
            <w:bookmarkEnd w:id="39"/>
            <w:r>
              <w:rPr>
                <w:rStyle w:val="spanrvts44"/>
                <w:lang w:val="uk" w:eastAsia="uk"/>
              </w:rPr>
              <w:t>Заступник начальника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Управління конкурентної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політики та міжнародного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співробітництва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F41" w:rsidRDefault="005F4D31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Л.Ф. Ляшенко</w:t>
            </w:r>
          </w:p>
        </w:tc>
      </w:tr>
    </w:tbl>
    <w:p w:rsidR="00C75F41" w:rsidRDefault="00C75F41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729"/>
        <w:gridCol w:w="2475"/>
      </w:tblGrid>
      <w:tr w:rsidR="00C75F41" w:rsidRPr="005F4D31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F41" w:rsidRDefault="005F4D31">
            <w:pPr>
              <w:jc w:val="center"/>
              <w:rPr>
                <w:lang w:val="uk" w:eastAsia="uk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0006" name="Рисунок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F41" w:rsidRDefault="005F4D31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затвердження Порядку складання та ведення зведеного переліку суб'єктів природних монополій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Розпорядження; Антимонопольний комітет від 28.11.2012 № 874-р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28.11.2012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https://zakon.rada.gov.ua/go/z2119-12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F41" w:rsidRDefault="005F4D31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09.10.2023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0" cy="355218"/>
                  <wp:effectExtent l="0" t="0" r="0" b="0"/>
                  <wp:docPr id="100008" name="Рисунок 1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F41" w:rsidRDefault="005F4D31">
      <w:pPr>
        <w:rPr>
          <w:lang w:val="uk" w:eastAsia="uk"/>
        </w:rPr>
      </w:pPr>
      <w:r>
        <w:rPr>
          <w:lang w:val="uk" w:eastAsia="uk"/>
        </w:rPr>
        <w:br/>
      </w:r>
      <w:r w:rsidR="00FA0D00">
        <w:pict>
          <v:rect id="_x0000_i1028" style="width:468pt;height:0" o:hralign="center" o:hrstd="t" o:hrnoshade="t" o:hr="t" fillcolor="gray" stroked="f">
            <v:path strokeok="f"/>
          </v:rect>
        </w:pict>
      </w:r>
    </w:p>
    <w:p w:rsidR="00C75F41" w:rsidRDefault="005F4D31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Публікації документа</w:t>
      </w:r>
    </w:p>
    <w:p w:rsidR="00C75F41" w:rsidRDefault="005F4D31">
      <w:pPr>
        <w:numPr>
          <w:ilvl w:val="0"/>
          <w:numId w:val="1"/>
        </w:numPr>
        <w:spacing w:before="240"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Офіційний вісник України</w:t>
      </w:r>
      <w:r>
        <w:rPr>
          <w:lang w:val="uk" w:eastAsia="uk"/>
        </w:rPr>
        <w:t xml:space="preserve"> від 25.01.2013 — 2013 р., № 4, стор. 251, стаття 122, код акта 65355/2013</w:t>
      </w:r>
    </w:p>
    <w:sectPr w:rsidR="00C75F4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90187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E2A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880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94A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362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F67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DC32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3A3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EE57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75F41"/>
    <w:rsid w:val="005F4D31"/>
    <w:rsid w:val="00C75F41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</w:style>
  <w:style w:type="paragraph" w:customStyle="1" w:styleId="rvps4">
    <w:name w:val="rvps4"/>
    <w:basedOn w:val="a"/>
    <w:pPr>
      <w:jc w:val="center"/>
    </w:pPr>
  </w:style>
  <w:style w:type="paragraph" w:customStyle="1" w:styleId="rvps1">
    <w:name w:val="rvps1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pPr>
      <w:jc w:val="center"/>
    </w:p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/>
  </w:style>
  <w:style w:type="paragraph" w:customStyle="1" w:styleId="rvps8">
    <w:name w:val="rvps8"/>
    <w:basedOn w:val="a"/>
    <w:pPr>
      <w:jc w:val="both"/>
    </w:pPr>
  </w:style>
  <w:style w:type="paragraph" w:customStyle="1" w:styleId="rvps6">
    <w:name w:val="rvps6"/>
    <w:basedOn w:val="a"/>
    <w:pPr>
      <w:jc w:val="center"/>
    </w:p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rvps11">
    <w:name w:val="rvps11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paragraph" w:customStyle="1" w:styleId="rvps12">
    <w:name w:val="rvps12"/>
    <w:basedOn w:val="a"/>
    <w:pPr>
      <w:jc w:val="center"/>
    </w:pPr>
  </w:style>
  <w:style w:type="character" w:customStyle="1" w:styleId="spanrvts82">
    <w:name w:val="span_rvts82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5F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4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59-12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1682-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910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358-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складання та ведення зведеного переліку суб'єктів природних монополій | від 28.11.2012 № 874-р</vt:lpstr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та ведення зведеного переліку суб'єктів природних монополій | від 28.11.2012 № 874-р</dc:title>
  <dc:creator>admin</dc:creator>
  <cp:lastModifiedBy>admin</cp:lastModifiedBy>
  <cp:revision>2</cp:revision>
  <dcterms:created xsi:type="dcterms:W3CDTF">2024-03-27T19:25:00Z</dcterms:created>
  <dcterms:modified xsi:type="dcterms:W3CDTF">2024-03-27T19:25:00Z</dcterms:modified>
</cp:coreProperties>
</file>