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8108"/>
      </w:tblGrid>
      <w:tr w:rsidR="00CA4990" w:rsidRPr="00240CF7" w14:paraId="2A733A33" w14:textId="77777777" w:rsidTr="00546D64">
        <w:trPr>
          <w:trHeight w:val="20"/>
          <w:jc w:val="center"/>
        </w:trPr>
        <w:tc>
          <w:tcPr>
            <w:tcW w:w="1814" w:type="dxa"/>
            <w:vAlign w:val="center"/>
          </w:tcPr>
          <w:p w14:paraId="607D68EF" w14:textId="77777777" w:rsidR="00CA4990" w:rsidRPr="00192B4E" w:rsidRDefault="00CA4990" w:rsidP="00546D64">
            <w:pPr>
              <w:jc w:val="center"/>
              <w:rPr>
                <w:b/>
              </w:rPr>
            </w:pPr>
            <w:r w:rsidRPr="00192B4E">
              <w:rPr>
                <w:b/>
              </w:rPr>
              <w:t>Назва послуг</w:t>
            </w:r>
          </w:p>
        </w:tc>
        <w:tc>
          <w:tcPr>
            <w:tcW w:w="8108" w:type="dxa"/>
            <w:vAlign w:val="center"/>
          </w:tcPr>
          <w:p w14:paraId="462F94FB" w14:textId="77777777" w:rsidR="00CA4990" w:rsidRPr="00CA4990" w:rsidRDefault="00CA4990" w:rsidP="00546D64">
            <w:pPr>
              <w:jc w:val="center"/>
              <w:rPr>
                <w:b/>
                <w:lang w:val="ru-RU"/>
              </w:rPr>
            </w:pPr>
            <w:r w:rsidRPr="00CA4990">
              <w:rPr>
                <w:b/>
                <w:lang w:val="ru-RU"/>
              </w:rPr>
              <w:t>Технічні вимоги (завдання) до робіт/послуг</w:t>
            </w:r>
          </w:p>
        </w:tc>
      </w:tr>
      <w:tr w:rsidR="00CA4990" w:rsidRPr="00240CF7" w14:paraId="23EE70BF" w14:textId="77777777" w:rsidTr="00546D64">
        <w:trPr>
          <w:trHeight w:val="20"/>
          <w:jc w:val="center"/>
        </w:trPr>
        <w:tc>
          <w:tcPr>
            <w:tcW w:w="1814" w:type="dxa"/>
            <w:vAlign w:val="center"/>
          </w:tcPr>
          <w:p w14:paraId="218C8847" w14:textId="77777777" w:rsidR="00CA4990" w:rsidRPr="00192B4E" w:rsidRDefault="00CA4990" w:rsidP="00546D64">
            <w:r w:rsidRPr="00192B4E">
              <w:t>Вивезення твердих побутових відходів</w:t>
            </w:r>
          </w:p>
        </w:tc>
        <w:tc>
          <w:tcPr>
            <w:tcW w:w="8108" w:type="dxa"/>
            <w:vAlign w:val="center"/>
          </w:tcPr>
          <w:p w14:paraId="624A894E" w14:textId="77777777" w:rsidR="00FB0C7B" w:rsidRDefault="00FB0C7B" w:rsidP="00FB0C7B">
            <w:pPr>
              <w:rPr>
                <w:sz w:val="22"/>
                <w:lang w:val="ru-RU"/>
              </w:rPr>
            </w:pPr>
            <w:r>
              <w:rPr>
                <w:sz w:val="22"/>
                <w:lang w:val="ru-RU"/>
              </w:rPr>
              <w:t>1. Кількість контейнерів, що має бути на об’єкті за адресою: вул. Пулюя 36 – 3 контейнери для побутових відходів, 1 контейнер для ПЕТ пляшки, 1 контейнер для вторинної сировини з паперу картону.</w:t>
            </w:r>
          </w:p>
          <w:p w14:paraId="60826C2C" w14:textId="77777777" w:rsidR="00FB0C7B" w:rsidRDefault="00FB0C7B" w:rsidP="00FB0C7B">
            <w:pPr>
              <w:pStyle w:val="aa"/>
              <w:jc w:val="both"/>
              <w:rPr>
                <w:rFonts w:ascii="Times New Roman" w:hAnsi="Times New Roman"/>
                <w:b/>
                <w:i/>
                <w:sz w:val="22"/>
                <w:u w:val="single"/>
                <w:lang w:val="uk-UA"/>
              </w:rPr>
            </w:pPr>
            <w:r>
              <w:rPr>
                <w:rFonts w:ascii="Times New Roman" w:hAnsi="Times New Roman"/>
                <w:sz w:val="22"/>
                <w:lang w:val="ru-RU"/>
              </w:rPr>
              <w:t>2. Об’єм контейнера - 1,1</w:t>
            </w:r>
            <w:r>
              <w:rPr>
                <w:rFonts w:ascii="Times New Roman" w:hAnsi="Times New Roman"/>
                <w:sz w:val="22"/>
              </w:rPr>
              <w:t> </w:t>
            </w:r>
            <w:r>
              <w:rPr>
                <w:rFonts w:ascii="Times New Roman" w:hAnsi="Times New Roman"/>
                <w:sz w:val="22"/>
                <w:lang w:val="ru-RU"/>
              </w:rPr>
              <w:t>м. куб (</w:t>
            </w:r>
            <w:r>
              <w:rPr>
                <w:rFonts w:ascii="Times New Roman" w:hAnsi="Times New Roman"/>
                <w:spacing w:val="-3"/>
                <w:sz w:val="22"/>
                <w:lang w:val="uk-UA"/>
              </w:rPr>
              <w:t>контейнери повинні мати сертифікати відповідності країн ЄС (підтвердити документально)</w:t>
            </w:r>
            <w:r>
              <w:rPr>
                <w:rFonts w:ascii="Times New Roman" w:hAnsi="Times New Roman"/>
                <w:sz w:val="22"/>
                <w:lang w:val="ru-RU"/>
              </w:rPr>
              <w:t>.</w:t>
            </w:r>
          </w:p>
          <w:p w14:paraId="067CB0F9" w14:textId="0DBF7CDE" w:rsidR="00FB0C7B" w:rsidRPr="00FB0C7B" w:rsidRDefault="00FB0C7B" w:rsidP="00FB0C7B">
            <w:pPr>
              <w:rPr>
                <w:sz w:val="22"/>
                <w:lang w:val="uk-UA"/>
              </w:rPr>
            </w:pPr>
            <w:r w:rsidRPr="00FB0C7B">
              <w:rPr>
                <w:sz w:val="22"/>
                <w:lang w:val="uk-UA"/>
              </w:rPr>
              <w:t xml:space="preserve">3. Обсяг побутових відходів – </w:t>
            </w:r>
            <w:r w:rsidRPr="00FB0C7B">
              <w:rPr>
                <w:b/>
                <w:sz w:val="22"/>
                <w:lang w:val="uk-UA"/>
              </w:rPr>
              <w:t>1</w:t>
            </w:r>
            <w:r w:rsidR="009B7D52">
              <w:rPr>
                <w:b/>
                <w:sz w:val="22"/>
                <w:lang w:val="uk-UA"/>
              </w:rPr>
              <w:t>7</w:t>
            </w:r>
            <w:r w:rsidR="00240CF7">
              <w:rPr>
                <w:b/>
                <w:sz w:val="22"/>
                <w:lang w:val="uk-UA"/>
              </w:rPr>
              <w:t>5</w:t>
            </w:r>
            <w:r w:rsidRPr="00FB0C7B">
              <w:rPr>
                <w:b/>
                <w:sz w:val="22"/>
                <w:lang w:val="uk-UA"/>
              </w:rPr>
              <w:t xml:space="preserve"> тонн</w:t>
            </w:r>
            <w:r w:rsidRPr="00FB0C7B">
              <w:rPr>
                <w:sz w:val="22"/>
                <w:lang w:val="uk-UA"/>
              </w:rPr>
              <w:t>.</w:t>
            </w:r>
          </w:p>
          <w:p w14:paraId="789E03E4" w14:textId="77777777" w:rsidR="00FB0C7B" w:rsidRPr="00FB0C7B" w:rsidRDefault="00FB0C7B" w:rsidP="00FB0C7B">
            <w:pPr>
              <w:rPr>
                <w:sz w:val="22"/>
                <w:lang w:val="uk-UA"/>
              </w:rPr>
            </w:pPr>
            <w:r w:rsidRPr="00FB0C7B">
              <w:rPr>
                <w:sz w:val="22"/>
                <w:lang w:val="uk-UA"/>
              </w:rPr>
              <w:t>4. Періодичність вивезення – щодня</w:t>
            </w:r>
          </w:p>
          <w:p w14:paraId="19426A23" w14:textId="61082DF3" w:rsidR="00CA4990" w:rsidRPr="00CA4990" w:rsidRDefault="00FB0C7B" w:rsidP="00FB0C7B">
            <w:pPr>
              <w:rPr>
                <w:lang w:val="ru-RU"/>
              </w:rPr>
            </w:pPr>
            <w:r>
              <w:rPr>
                <w:sz w:val="22"/>
                <w:lang w:val="ru-RU"/>
              </w:rPr>
              <w:t>5. Контейнери – надаються Виконавцем  на безоплатній основі на умовах Договору, що додається</w:t>
            </w:r>
          </w:p>
        </w:tc>
      </w:tr>
    </w:tbl>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74215095" w14:textId="77777777" w:rsidR="00BA439F" w:rsidRPr="00BA439F" w:rsidRDefault="00BA439F" w:rsidP="00BA439F">
      <w:pPr>
        <w:spacing w:line="360" w:lineRule="auto"/>
        <w:ind w:firstLine="567"/>
        <w:rPr>
          <w:rFonts w:eastAsia="Times New Roman"/>
          <w:b/>
          <w:sz w:val="24"/>
          <w:szCs w:val="24"/>
          <w:lang w:val="ru-RU"/>
        </w:rPr>
      </w:pPr>
      <w:bookmarkStart w:id="0" w:name="_Hlk161067141"/>
      <w:r w:rsidRPr="00BA439F">
        <w:rPr>
          <w:rFonts w:eastAsia="Times New Roman"/>
          <w:b/>
          <w:spacing w:val="-4"/>
          <w:sz w:val="24"/>
          <w:szCs w:val="24"/>
          <w:lang w:val="ru-RU"/>
        </w:rPr>
        <w:t>Вимоги щодо контейнерного парку для ТПВ (тверді побутові відходи).</w:t>
      </w:r>
    </w:p>
    <w:p w14:paraId="3D1D47A2" w14:textId="77777777" w:rsidR="00BA439F" w:rsidRP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pacing w:val="-5"/>
          <w:sz w:val="24"/>
          <w:szCs w:val="24"/>
          <w:lang w:val="ru-RU"/>
        </w:rPr>
        <w:t>металеві оцинковані або пластикові  контейнера євростандарту об' ємом 1,1 та 0,24 м</w:t>
      </w:r>
      <w:r w:rsidRPr="00BA439F">
        <w:rPr>
          <w:rFonts w:eastAsia="Times New Roman"/>
          <w:spacing w:val="-5"/>
          <w:sz w:val="24"/>
          <w:szCs w:val="24"/>
          <w:vertAlign w:val="superscript"/>
          <w:lang w:val="ru-RU"/>
        </w:rPr>
        <w:t>3</w:t>
      </w:r>
      <w:r w:rsidRPr="00BA439F">
        <w:rPr>
          <w:rFonts w:eastAsia="Times New Roman"/>
          <w:spacing w:val="-5"/>
          <w:sz w:val="24"/>
          <w:szCs w:val="24"/>
          <w:lang w:val="ru-RU"/>
        </w:rPr>
        <w:t>.</w:t>
      </w:r>
    </w:p>
    <w:p w14:paraId="2751F416" w14:textId="77777777" w:rsidR="00BA439F" w:rsidRP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pacing w:val="-3"/>
          <w:sz w:val="24"/>
          <w:szCs w:val="24"/>
          <w:lang w:val="ru-RU"/>
        </w:rPr>
        <w:t>контейнера мають сертифікат відповідності країн ЄС (підтвердити документально шляхом надання копій відповідних сертифікатів).</w:t>
      </w:r>
    </w:p>
    <w:p w14:paraId="0E0DA87E" w14:textId="77777777" w:rsidR="00BA439F" w:rsidRP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pacing w:val="-3"/>
          <w:sz w:val="24"/>
          <w:szCs w:val="24"/>
          <w:lang w:val="ru-RU"/>
        </w:rPr>
        <w:t>всі контейнери забезпечені візуальною інформацією щодо перевізника ТПВ.</w:t>
      </w:r>
    </w:p>
    <w:p w14:paraId="3D059B9A" w14:textId="77777777" w:rsidR="00BA439F" w:rsidRP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z w:val="24"/>
          <w:szCs w:val="24"/>
          <w:lang w:val="ru-RU"/>
        </w:rPr>
        <w:t>за вимогою Замовника встановлення додаткових контейнерів 1,1 м.куб. або 240л; зміна графіку вивозу ТПВ;</w:t>
      </w:r>
    </w:p>
    <w:p w14:paraId="1B2F34C5" w14:textId="77777777" w:rsidR="00BA439F" w:rsidRP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pacing w:val="-3"/>
          <w:sz w:val="24"/>
          <w:szCs w:val="24"/>
          <w:lang w:val="ru-RU"/>
        </w:rPr>
        <w:t>контейнерний парк знаходиться на балансі підприємства перевізника.</w:t>
      </w:r>
    </w:p>
    <w:p w14:paraId="7D082A87" w14:textId="77777777" w:rsid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rPr>
      </w:pPr>
      <w:r w:rsidRPr="00BA439F">
        <w:rPr>
          <w:rFonts w:eastAsia="Times New Roman"/>
          <w:spacing w:val="-2"/>
          <w:sz w:val="24"/>
          <w:szCs w:val="24"/>
          <w:lang w:val="ru-RU"/>
        </w:rPr>
        <w:t xml:space="preserve">перевізник проводить повне обслуговування та заміну контейнерів, облаштовує контейнерні майданчики, проводить санітарну обробку та мийку контейнерів, при </w:t>
      </w:r>
      <w:r w:rsidRPr="00BA439F">
        <w:rPr>
          <w:rFonts w:eastAsia="Times New Roman"/>
          <w:sz w:val="24"/>
          <w:szCs w:val="24"/>
          <w:lang w:val="ru-RU"/>
        </w:rPr>
        <w:t xml:space="preserve">необхідності та за вимогою </w:t>
      </w:r>
      <w:r>
        <w:rPr>
          <w:rFonts w:eastAsia="Times New Roman"/>
          <w:sz w:val="24"/>
          <w:szCs w:val="24"/>
        </w:rPr>
        <w:t xml:space="preserve">Замовника проводить зміну кількості та дислокації </w:t>
      </w:r>
      <w:r>
        <w:rPr>
          <w:rFonts w:eastAsia="Times New Roman"/>
          <w:spacing w:val="-5"/>
          <w:sz w:val="24"/>
          <w:szCs w:val="24"/>
        </w:rPr>
        <w:t>контейнерів.</w:t>
      </w:r>
    </w:p>
    <w:p w14:paraId="3D546964" w14:textId="77777777" w:rsidR="00BA439F" w:rsidRDefault="00BA439F" w:rsidP="00BA439F">
      <w:pPr>
        <w:widowControl/>
        <w:numPr>
          <w:ilvl w:val="1"/>
          <w:numId w:val="17"/>
        </w:numPr>
        <w:tabs>
          <w:tab w:val="clear" w:pos="1506"/>
          <w:tab w:val="num" w:pos="1134"/>
        </w:tabs>
        <w:spacing w:line="360" w:lineRule="auto"/>
        <w:ind w:left="0" w:firstLine="567"/>
        <w:rPr>
          <w:rFonts w:eastAsia="Times New Roman"/>
          <w:sz w:val="24"/>
          <w:szCs w:val="24"/>
          <w:lang w:val="ru-RU"/>
        </w:rPr>
      </w:pPr>
      <w:r w:rsidRPr="00BA439F">
        <w:rPr>
          <w:rFonts w:eastAsia="Times New Roman"/>
          <w:spacing w:val="-4"/>
          <w:sz w:val="24"/>
          <w:szCs w:val="24"/>
          <w:lang w:val="ru-RU"/>
        </w:rPr>
        <w:t xml:space="preserve">замовник не несе ні </w:t>
      </w:r>
      <w:r w:rsidRPr="00BA439F">
        <w:rPr>
          <w:rFonts w:eastAsia="Times New Roman"/>
          <w:spacing w:val="-3"/>
          <w:sz w:val="24"/>
          <w:szCs w:val="24"/>
          <w:lang w:val="ru-RU"/>
        </w:rPr>
        <w:t>якої матеріальної відповідальності за знищення чи пошкодження контейнерів.</w:t>
      </w:r>
    </w:p>
    <w:p w14:paraId="6A5BEDFA" w14:textId="77777777" w:rsidR="00BA439F" w:rsidRPr="007332FD" w:rsidRDefault="00BA439F" w:rsidP="00BA439F">
      <w:pPr>
        <w:widowControl/>
        <w:numPr>
          <w:ilvl w:val="1"/>
          <w:numId w:val="17"/>
        </w:numPr>
        <w:tabs>
          <w:tab w:val="clear" w:pos="1506"/>
          <w:tab w:val="num" w:pos="1134"/>
        </w:tabs>
        <w:spacing w:line="360" w:lineRule="auto"/>
        <w:ind w:left="0" w:firstLine="567"/>
        <w:rPr>
          <w:rFonts w:eastAsia="Times New Roman"/>
          <w:sz w:val="28"/>
          <w:szCs w:val="24"/>
          <w:lang w:val="ru-RU"/>
        </w:rPr>
      </w:pPr>
      <w:bookmarkStart w:id="1" w:name="_Hlk161067633"/>
      <w:r w:rsidRPr="007332FD">
        <w:rPr>
          <w:sz w:val="24"/>
          <w:lang w:val="ru-RU"/>
        </w:rPr>
        <w:t>учасник повинен забезпечити можливість роздільного збирання відходів, зокрема встановити за вимогою Замовника  контейнери закритого типу для збору пластику (ПЕТ пляшки) об’ємом не менше 2,5 м3.  (у складі тендерної пропозиції, учасник повинен надати копії документів, які підтверджують наявність в учасника необхідної кількості відповідних контейнерів та наявність не менш ніж 1-го спеціалізованого транспортного засобу для їх вивезення);</w:t>
      </w:r>
      <w:bookmarkEnd w:id="1"/>
    </w:p>
    <w:p w14:paraId="63C5890D" w14:textId="77777777" w:rsidR="00BA439F" w:rsidRDefault="00BA439F" w:rsidP="00BA439F">
      <w:pPr>
        <w:widowControl/>
        <w:numPr>
          <w:ilvl w:val="0"/>
          <w:numId w:val="17"/>
        </w:numPr>
        <w:spacing w:line="360" w:lineRule="auto"/>
        <w:ind w:left="0" w:firstLine="567"/>
        <w:rPr>
          <w:rFonts w:eastAsia="Times New Roman"/>
          <w:spacing w:val="-3"/>
          <w:sz w:val="24"/>
          <w:szCs w:val="24"/>
          <w:lang w:val="ru-RU"/>
        </w:rPr>
      </w:pPr>
      <w:r w:rsidRPr="00BA439F">
        <w:rPr>
          <w:rFonts w:eastAsia="Times New Roman"/>
          <w:spacing w:val="-3"/>
          <w:sz w:val="24"/>
          <w:szCs w:val="24"/>
          <w:lang w:val="ru-RU"/>
        </w:rPr>
        <w:t>Забезпечення своєчасного та якісного обслуговування.</w:t>
      </w:r>
    </w:p>
    <w:p w14:paraId="2C27B3E1" w14:textId="77777777" w:rsidR="00BA439F" w:rsidRPr="00BA439F" w:rsidRDefault="00BA439F" w:rsidP="00BA439F">
      <w:pPr>
        <w:widowControl/>
        <w:numPr>
          <w:ilvl w:val="1"/>
          <w:numId w:val="17"/>
        </w:numPr>
        <w:spacing w:line="360" w:lineRule="auto"/>
        <w:ind w:left="0" w:firstLine="567"/>
        <w:rPr>
          <w:rFonts w:eastAsia="Times New Roman"/>
          <w:sz w:val="24"/>
          <w:szCs w:val="24"/>
          <w:lang w:val="ru-RU"/>
        </w:rPr>
      </w:pPr>
      <w:r w:rsidRPr="00BA439F">
        <w:rPr>
          <w:rFonts w:eastAsia="Times New Roman"/>
          <w:spacing w:val="-3"/>
          <w:sz w:val="24"/>
          <w:szCs w:val="24"/>
          <w:lang w:val="ru-RU"/>
        </w:rPr>
        <w:t>ТПВ повинні вивозиться з 8:00 год до 15:00 год згідно із графіком та дислокацією , які вказує Замовник;</w:t>
      </w:r>
    </w:p>
    <w:p w14:paraId="0A2C97C2" w14:textId="77777777" w:rsidR="00BA439F" w:rsidRPr="00BA439F" w:rsidRDefault="00BA439F" w:rsidP="00BA439F">
      <w:pPr>
        <w:widowControl/>
        <w:numPr>
          <w:ilvl w:val="1"/>
          <w:numId w:val="17"/>
        </w:numPr>
        <w:spacing w:line="360" w:lineRule="auto"/>
        <w:ind w:left="0" w:firstLine="567"/>
        <w:rPr>
          <w:rFonts w:eastAsia="Times New Roman"/>
          <w:sz w:val="24"/>
          <w:szCs w:val="24"/>
          <w:lang w:val="ru-RU"/>
        </w:rPr>
      </w:pPr>
      <w:r w:rsidRPr="00BA439F">
        <w:rPr>
          <w:rFonts w:eastAsia="Times New Roman"/>
          <w:sz w:val="24"/>
          <w:szCs w:val="24"/>
          <w:lang w:val="ru-RU"/>
        </w:rPr>
        <w:t>У зв’язку з великим обсягами надання послуг, та з метою забезпечення безперебійного та вчасного забору ПВ, в учасника повинно бути не менше 7 спеціалізованих транспортних засобів для збору побутових відходів (сміттєвозів) та один транспортний засіб для збору великогабаритних та будівельних відходів;</w:t>
      </w:r>
    </w:p>
    <w:p w14:paraId="6BC698DC" w14:textId="77777777" w:rsidR="00BA439F" w:rsidRPr="00BA439F" w:rsidRDefault="00BA439F" w:rsidP="00BA439F">
      <w:pPr>
        <w:widowControl/>
        <w:numPr>
          <w:ilvl w:val="1"/>
          <w:numId w:val="17"/>
        </w:numPr>
        <w:spacing w:line="360" w:lineRule="auto"/>
        <w:ind w:left="0" w:firstLine="567"/>
        <w:rPr>
          <w:rFonts w:eastAsia="Times New Roman"/>
          <w:sz w:val="24"/>
          <w:szCs w:val="24"/>
          <w:lang w:val="ru-RU"/>
        </w:rPr>
      </w:pPr>
      <w:r w:rsidRPr="00BA439F">
        <w:rPr>
          <w:sz w:val="24"/>
          <w:szCs w:val="24"/>
          <w:lang w:val="ru-RU"/>
        </w:rPr>
        <w:lastRenderedPageBreak/>
        <w:t>Учасник повинен підтвердити наявність у нього відповідної кількості спеціалізованих транспортних засобів - сміттєвозів, надавши скан копії свідоцтв про реєстрацію транспортного засобу. На транспортні засоби які не є у власності Учасника – слід надати підтверджуючі документи права використання;</w:t>
      </w:r>
    </w:p>
    <w:p w14:paraId="3CE31048" w14:textId="77777777" w:rsidR="00BA439F" w:rsidRPr="00BA439F" w:rsidRDefault="00BA439F" w:rsidP="00BA439F">
      <w:pPr>
        <w:widowControl/>
        <w:numPr>
          <w:ilvl w:val="1"/>
          <w:numId w:val="17"/>
        </w:numPr>
        <w:spacing w:line="360" w:lineRule="auto"/>
        <w:ind w:left="0" w:firstLine="567"/>
        <w:rPr>
          <w:rFonts w:eastAsia="Times New Roman"/>
          <w:sz w:val="24"/>
          <w:szCs w:val="24"/>
          <w:lang w:val="ru-RU"/>
        </w:rPr>
      </w:pPr>
      <w:r w:rsidRPr="00BA439F">
        <w:rPr>
          <w:sz w:val="24"/>
          <w:szCs w:val="24"/>
          <w:lang w:val="ru-RU"/>
        </w:rPr>
        <w:t>Учасник зобов’язаний підтвердити належний технічний стан транспортних засобів у відповідності до ст. 35 Закону України "Про дорожній рух" надавши скановані з оригіналу протоколи технічного огляду транспортних засобів.</w:t>
      </w:r>
    </w:p>
    <w:p w14:paraId="6DF46468" w14:textId="77777777" w:rsidR="00BA439F" w:rsidRPr="00BA439F" w:rsidRDefault="00BA439F" w:rsidP="00BA439F">
      <w:pPr>
        <w:widowControl/>
        <w:numPr>
          <w:ilvl w:val="0"/>
          <w:numId w:val="17"/>
        </w:numPr>
        <w:suppressAutoHyphens/>
        <w:spacing w:line="360" w:lineRule="auto"/>
        <w:ind w:left="0" w:firstLine="567"/>
        <w:contextualSpacing/>
        <w:rPr>
          <w:rFonts w:eastAsiaTheme="minorHAnsi"/>
          <w:b/>
          <w:sz w:val="24"/>
          <w:szCs w:val="24"/>
          <w:lang w:val="ru-RU"/>
        </w:rPr>
      </w:pPr>
      <w:r w:rsidRPr="00BA439F">
        <w:rPr>
          <w:rFonts w:eastAsia="Times New Roman"/>
          <w:spacing w:val="-3"/>
          <w:sz w:val="24"/>
          <w:szCs w:val="24"/>
          <w:lang w:val="ru-RU" w:eastAsia="uk-UA"/>
        </w:rPr>
        <w:t>Екологічні вимоги щодо автотранспорту який використовує Перевізник:</w:t>
      </w:r>
      <w:r w:rsidRPr="00BA439F">
        <w:rPr>
          <w:rFonts w:eastAsia="Times New Roman"/>
          <w:spacing w:val="-3"/>
          <w:sz w:val="24"/>
          <w:szCs w:val="24"/>
          <w:lang w:val="ru-RU" w:eastAsia="uk-UA"/>
        </w:rPr>
        <w:br/>
      </w:r>
      <w:r w:rsidRPr="00BA439F">
        <w:rPr>
          <w:rFonts w:eastAsia="Times New Roman"/>
          <w:spacing w:val="-2"/>
          <w:sz w:val="24"/>
          <w:szCs w:val="24"/>
          <w:lang w:val="ru-RU" w:eastAsia="uk-UA"/>
        </w:rPr>
        <w:t xml:space="preserve"> у</w:t>
      </w:r>
      <w:r w:rsidRPr="00BA439F">
        <w:rPr>
          <w:rFonts w:eastAsia="Times New Roman"/>
          <w:spacing w:val="-1"/>
          <w:sz w:val="24"/>
          <w:szCs w:val="24"/>
          <w:lang w:val="ru-RU" w:eastAsia="uk-UA"/>
        </w:rPr>
        <w:t xml:space="preserve">часник має надати </w:t>
      </w:r>
      <w:r w:rsidRPr="00BA439F">
        <w:rPr>
          <w:rFonts w:eastAsia="Times New Roman"/>
          <w:spacing w:val="2"/>
          <w:sz w:val="24"/>
          <w:szCs w:val="24"/>
          <w:lang w:val="ru-RU" w:eastAsia="uk-UA"/>
        </w:rPr>
        <w:t xml:space="preserve"> підтвердження,  щодо  відповідності  його спеціалізованого  автотранспорту </w:t>
      </w:r>
      <w:r w:rsidRPr="00BA439F">
        <w:rPr>
          <w:rFonts w:eastAsia="Times New Roman"/>
          <w:spacing w:val="-3"/>
          <w:sz w:val="24"/>
          <w:szCs w:val="24"/>
          <w:lang w:val="ru-RU" w:eastAsia="uk-UA"/>
        </w:rPr>
        <w:t>нормам по викидам та забрудненню</w:t>
      </w:r>
    </w:p>
    <w:p w14:paraId="53BCEA35" w14:textId="77777777" w:rsidR="00BA439F" w:rsidRPr="00BA439F" w:rsidRDefault="00BA439F" w:rsidP="00BA439F">
      <w:pPr>
        <w:suppressAutoHyphens/>
        <w:spacing w:line="360" w:lineRule="auto"/>
        <w:ind w:left="567"/>
        <w:contextualSpacing/>
        <w:rPr>
          <w:rFonts w:eastAsia="Times New Roman"/>
          <w:spacing w:val="-3"/>
          <w:sz w:val="24"/>
          <w:szCs w:val="24"/>
          <w:lang w:val="ru-RU" w:eastAsia="uk-UA"/>
        </w:rPr>
      </w:pPr>
    </w:p>
    <w:p w14:paraId="1171D9FC" w14:textId="77777777" w:rsidR="00BA439F" w:rsidRPr="00BA439F" w:rsidRDefault="00BA439F" w:rsidP="00BA439F">
      <w:pPr>
        <w:suppressAutoHyphens/>
        <w:spacing w:line="360" w:lineRule="auto"/>
        <w:ind w:left="567"/>
        <w:contextualSpacing/>
        <w:rPr>
          <w:rFonts w:eastAsiaTheme="minorHAnsi"/>
          <w:b/>
          <w:sz w:val="24"/>
          <w:szCs w:val="24"/>
          <w:lang w:val="ru-RU"/>
        </w:rPr>
      </w:pPr>
      <w:r w:rsidRPr="00BA439F">
        <w:rPr>
          <w:rFonts w:eastAsiaTheme="minorHAnsi"/>
          <w:i/>
          <w:sz w:val="24"/>
          <w:szCs w:val="24"/>
          <w:lang w:val="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bookmarkEnd w:id="0"/>
    </w:p>
    <w:p w14:paraId="5A5A2D18" w14:textId="77777777" w:rsidR="00252AC6" w:rsidRPr="00AB60B0" w:rsidRDefault="00252AC6" w:rsidP="00BA439F">
      <w:pPr>
        <w:rPr>
          <w:rFonts w:eastAsiaTheme="minorHAnsi"/>
          <w:b/>
          <w:sz w:val="24"/>
          <w:szCs w:val="24"/>
          <w:lang w:val="ru-RU" w:eastAsia="en-US"/>
        </w:rPr>
      </w:pPr>
    </w:p>
    <w:sectPr w:rsidR="00252AC6" w:rsidRPr="00AB60B0"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B4024F"/>
    <w:multiLevelType w:val="hybridMultilevel"/>
    <w:tmpl w:val="1A2EBAB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6E7514"/>
    <w:multiLevelType w:val="hybridMultilevel"/>
    <w:tmpl w:val="F44243D6"/>
    <w:lvl w:ilvl="0" w:tplc="2B722B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335C9A"/>
    <w:multiLevelType w:val="multilevel"/>
    <w:tmpl w:val="025285A2"/>
    <w:lvl w:ilvl="0">
      <w:start w:val="1"/>
      <w:numFmt w:val="decimal"/>
      <w:lvlText w:val="%1."/>
      <w:lvlJc w:val="left"/>
      <w:pPr>
        <w:tabs>
          <w:tab w:val="num" w:pos="786"/>
        </w:tabs>
        <w:ind w:left="786" w:hanging="360"/>
      </w:pPr>
      <w:rPr>
        <w:b/>
      </w:rPr>
    </w:lvl>
    <w:lvl w:ilvl="1">
      <w:start w:val="2"/>
      <w:numFmt w:val="bullet"/>
      <w:lvlText w:val="–"/>
      <w:lvlJc w:val="left"/>
      <w:pPr>
        <w:tabs>
          <w:tab w:val="num" w:pos="1506"/>
        </w:tabs>
        <w:ind w:left="1506" w:hanging="360"/>
      </w:pPr>
      <w:rPr>
        <w:rFonts w:ascii="Times New Roman" w:eastAsia="Times New Roman" w:hAnsi="Times New Roman" w:cs="Times New Roman" w:hint="default"/>
        <w:b/>
        <w:lang w:val="ru-RU"/>
      </w:rPr>
    </w:lvl>
    <w:lvl w:ilvl="2">
      <w:start w:val="1"/>
      <w:numFmt w:val="decimal"/>
      <w:lvlText w:val="%3."/>
      <w:lvlJc w:val="left"/>
      <w:pPr>
        <w:tabs>
          <w:tab w:val="num" w:pos="1506"/>
        </w:tabs>
        <w:ind w:left="1506" w:hanging="360"/>
      </w:pPr>
    </w:lvl>
    <w:lvl w:ilvl="3">
      <w:start w:val="1"/>
      <w:numFmt w:val="decimal"/>
      <w:lvlText w:val="%4."/>
      <w:lvlJc w:val="left"/>
      <w:pPr>
        <w:tabs>
          <w:tab w:val="num" w:pos="2946"/>
        </w:tabs>
        <w:ind w:left="2946" w:hanging="360"/>
      </w:pPr>
      <w:rPr>
        <w:b/>
      </w:rPr>
    </w:lvl>
    <w:lvl w:ilvl="4">
      <w:start w:val="1"/>
      <w:numFmt w:val="decimal"/>
      <w:lvlText w:val="%5."/>
      <w:lvlJc w:val="left"/>
      <w:pPr>
        <w:tabs>
          <w:tab w:val="num" w:pos="2946"/>
        </w:tabs>
        <w:ind w:left="2946" w:hanging="360"/>
      </w:pPr>
    </w:lvl>
    <w:lvl w:ilvl="5">
      <w:start w:val="1"/>
      <w:numFmt w:val="decimal"/>
      <w:lvlText w:val="%6."/>
      <w:lvlJc w:val="left"/>
      <w:pPr>
        <w:tabs>
          <w:tab w:val="num" w:pos="3666"/>
        </w:tabs>
        <w:ind w:left="3666" w:hanging="360"/>
      </w:pPr>
    </w:lvl>
    <w:lvl w:ilvl="6">
      <w:start w:val="1"/>
      <w:numFmt w:val="decimal"/>
      <w:lvlText w:val="%7."/>
      <w:lvlJc w:val="left"/>
      <w:pPr>
        <w:tabs>
          <w:tab w:val="num" w:pos="4386"/>
        </w:tabs>
        <w:ind w:left="4386" w:hanging="360"/>
      </w:pPr>
    </w:lvl>
    <w:lvl w:ilvl="7">
      <w:start w:val="1"/>
      <w:numFmt w:val="decimal"/>
      <w:lvlText w:val="%8."/>
      <w:lvlJc w:val="left"/>
      <w:pPr>
        <w:tabs>
          <w:tab w:val="num" w:pos="5106"/>
        </w:tabs>
        <w:ind w:left="5106" w:hanging="360"/>
      </w:pPr>
    </w:lvl>
    <w:lvl w:ilvl="8">
      <w:start w:val="1"/>
      <w:numFmt w:val="decimal"/>
      <w:lvlText w:val="%9."/>
      <w:lvlJc w:val="left"/>
      <w:pPr>
        <w:tabs>
          <w:tab w:val="num" w:pos="5826"/>
        </w:tabs>
        <w:ind w:left="5826" w:hanging="360"/>
      </w:pPr>
    </w:lvl>
  </w:abstractNum>
  <w:abstractNum w:abstractNumId="11" w15:restartNumberingAfterBreak="0">
    <w:nsid w:val="5428550A"/>
    <w:multiLevelType w:val="hybridMultilevel"/>
    <w:tmpl w:val="5EF8B27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6"/>
  </w:num>
  <w:num w:numId="2">
    <w:abstractNumId w:val="13"/>
  </w:num>
  <w:num w:numId="3">
    <w:abstractNumId w:val="5"/>
  </w:num>
  <w:num w:numId="4">
    <w:abstractNumId w:val="9"/>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
  </w:num>
  <w:num w:numId="16">
    <w:abstractNumId w:val="11"/>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18D9"/>
    <w:rsid w:val="000260FB"/>
    <w:rsid w:val="000C2176"/>
    <w:rsid w:val="00101CE7"/>
    <w:rsid w:val="00101D9F"/>
    <w:rsid w:val="00103F1F"/>
    <w:rsid w:val="001116A1"/>
    <w:rsid w:val="00133F18"/>
    <w:rsid w:val="00137A4E"/>
    <w:rsid w:val="00147498"/>
    <w:rsid w:val="00147ACC"/>
    <w:rsid w:val="001573E3"/>
    <w:rsid w:val="00171251"/>
    <w:rsid w:val="00187EA2"/>
    <w:rsid w:val="001947BC"/>
    <w:rsid w:val="001A1139"/>
    <w:rsid w:val="001D73ED"/>
    <w:rsid w:val="00214A65"/>
    <w:rsid w:val="002275E1"/>
    <w:rsid w:val="00240CF7"/>
    <w:rsid w:val="00244E3C"/>
    <w:rsid w:val="002462AB"/>
    <w:rsid w:val="00252AC6"/>
    <w:rsid w:val="0026178B"/>
    <w:rsid w:val="002636B2"/>
    <w:rsid w:val="00267009"/>
    <w:rsid w:val="00290CF4"/>
    <w:rsid w:val="00293355"/>
    <w:rsid w:val="002970FC"/>
    <w:rsid w:val="002D0BC1"/>
    <w:rsid w:val="0037293A"/>
    <w:rsid w:val="003754DA"/>
    <w:rsid w:val="00384A91"/>
    <w:rsid w:val="003C7EB9"/>
    <w:rsid w:val="003D3F13"/>
    <w:rsid w:val="00402F8C"/>
    <w:rsid w:val="0042008C"/>
    <w:rsid w:val="004757CD"/>
    <w:rsid w:val="004A0905"/>
    <w:rsid w:val="004A58C0"/>
    <w:rsid w:val="004B231A"/>
    <w:rsid w:val="004E3957"/>
    <w:rsid w:val="004E4B00"/>
    <w:rsid w:val="00504250"/>
    <w:rsid w:val="005A70BC"/>
    <w:rsid w:val="005B397A"/>
    <w:rsid w:val="0063367A"/>
    <w:rsid w:val="00635193"/>
    <w:rsid w:val="00656C0E"/>
    <w:rsid w:val="0067129E"/>
    <w:rsid w:val="006720F7"/>
    <w:rsid w:val="006746B1"/>
    <w:rsid w:val="00683C25"/>
    <w:rsid w:val="0068662A"/>
    <w:rsid w:val="006A6C86"/>
    <w:rsid w:val="006C7A7F"/>
    <w:rsid w:val="006D5494"/>
    <w:rsid w:val="006E4411"/>
    <w:rsid w:val="00716C9D"/>
    <w:rsid w:val="007809C7"/>
    <w:rsid w:val="007A2713"/>
    <w:rsid w:val="007A3A80"/>
    <w:rsid w:val="007B3301"/>
    <w:rsid w:val="007D551A"/>
    <w:rsid w:val="007E1B77"/>
    <w:rsid w:val="00815958"/>
    <w:rsid w:val="00826D5E"/>
    <w:rsid w:val="00856746"/>
    <w:rsid w:val="00892864"/>
    <w:rsid w:val="00896BEA"/>
    <w:rsid w:val="008B2D69"/>
    <w:rsid w:val="008C3AA4"/>
    <w:rsid w:val="008F20F5"/>
    <w:rsid w:val="00953D7E"/>
    <w:rsid w:val="009A5E5C"/>
    <w:rsid w:val="009A72A0"/>
    <w:rsid w:val="009B6C38"/>
    <w:rsid w:val="009B7D52"/>
    <w:rsid w:val="00A12A89"/>
    <w:rsid w:val="00A26DD1"/>
    <w:rsid w:val="00A46A5E"/>
    <w:rsid w:val="00A64145"/>
    <w:rsid w:val="00AB60B0"/>
    <w:rsid w:val="00AD16C9"/>
    <w:rsid w:val="00AD30AD"/>
    <w:rsid w:val="00AE4138"/>
    <w:rsid w:val="00B65EB9"/>
    <w:rsid w:val="00B8774D"/>
    <w:rsid w:val="00BA439F"/>
    <w:rsid w:val="00BB26F6"/>
    <w:rsid w:val="00BC1234"/>
    <w:rsid w:val="00BF19F7"/>
    <w:rsid w:val="00C056C4"/>
    <w:rsid w:val="00C2375F"/>
    <w:rsid w:val="00C331D8"/>
    <w:rsid w:val="00C40F49"/>
    <w:rsid w:val="00C42D34"/>
    <w:rsid w:val="00C82520"/>
    <w:rsid w:val="00C83D9D"/>
    <w:rsid w:val="00CA3533"/>
    <w:rsid w:val="00CA4990"/>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5680A"/>
    <w:rsid w:val="00E75252"/>
    <w:rsid w:val="00ED1745"/>
    <w:rsid w:val="00EE4B0F"/>
    <w:rsid w:val="00F1101D"/>
    <w:rsid w:val="00F22004"/>
    <w:rsid w:val="00F4533B"/>
    <w:rsid w:val="00FA57C8"/>
    <w:rsid w:val="00FB0C7B"/>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 w:type="paragraph" w:customStyle="1" w:styleId="aa">
    <w:name w:val="Знак Знак Знак Знак Знак Знак"/>
    <w:basedOn w:val="a"/>
    <w:rsid w:val="00CA4990"/>
    <w:pPr>
      <w:widowControl/>
      <w:jc w:val="left"/>
    </w:pPr>
    <w:rPr>
      <w:rFonts w:ascii="Verdana" w:eastAsia="Times New Roman" w:hAnsi="Verdana"/>
      <w:color w:val="auto"/>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35084322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7DEF-96B7-4F2E-B0C7-7037DA9F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2084</Words>
  <Characters>1188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44</cp:revision>
  <cp:lastPrinted>2024-03-11T14:23:00Z</cp:lastPrinted>
  <dcterms:created xsi:type="dcterms:W3CDTF">2022-10-26T09:47:00Z</dcterms:created>
  <dcterms:modified xsi:type="dcterms:W3CDTF">2024-03-12T07:24:00Z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