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FB29B3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FB29B3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FB2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52309" w:rsidRPr="00FB29B3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A83F26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752309"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="00E9035D" w:rsidRPr="00E9035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ДК 021:2015-15550000-8 «Молочні продукти різні»</w:t>
            </w:r>
            <w:r w:rsidR="00451DA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  <w:p w:rsidR="00752309" w:rsidRPr="00FB29B3" w:rsidRDefault="00A83F26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</w:t>
            </w:r>
            <w:bookmarkStart w:id="0" w:name="_GoBack"/>
            <w:bookmarkEnd w:id="0"/>
            <w:r w:rsidR="00752309"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CA371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CA371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замовником за посиланням </w:t>
            </w:r>
            <w:hyperlink r:id="rId6" w:history="1">
              <w:r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CA371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="00F40F39"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>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8" w:anchor="n456" w:history="1">
              <w:r w:rsidRPr="00FB29B3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</w:t>
            </w:r>
            <w:r w:rsidR="00752309" w:rsidRPr="00FB29B3">
              <w:rPr>
                <w:color w:val="000000"/>
              </w:rPr>
              <w:t>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FB29B3">
              <w:rPr>
                <w:color w:val="000000"/>
              </w:rPr>
              <w:t>, ви</w:t>
            </w:r>
            <w:r w:rsidRPr="00FB29B3">
              <w:rPr>
                <w:color w:val="000000"/>
              </w:rPr>
              <w:t>да</w:t>
            </w:r>
            <w:r w:rsidR="00BB3999" w:rsidRPr="00FB29B3">
              <w:rPr>
                <w:color w:val="000000"/>
              </w:rPr>
              <w:t>ний міжрегіональним управлінням</w:t>
            </w:r>
            <w:r w:rsidRPr="00FB29B3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CA371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/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FB29B3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FB29B3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CA371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</w:t>
            </w:r>
            <w:r w:rsidRPr="00FB29B3">
              <w:rPr>
                <w:color w:val="000000"/>
              </w:rPr>
              <w:lastRenderedPageBreak/>
              <w:t>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Pr="00FB29B3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 xml:space="preserve">довідку в </w:t>
            </w:r>
            <w:r w:rsidRPr="00FB29B3">
              <w:rPr>
                <w:color w:val="000000"/>
              </w:rPr>
              <w:lastRenderedPageBreak/>
              <w:t>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</w:t>
            </w:r>
            <w:r w:rsidRPr="00FB29B3">
              <w:rPr>
                <w:color w:val="000000"/>
              </w:rPr>
              <w:lastRenderedPageBreak/>
              <w:t>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</w:t>
            </w:r>
            <w:r w:rsidRPr="00FB29B3">
              <w:rPr>
                <w:color w:val="000000"/>
              </w:rPr>
              <w:lastRenderedPageBreak/>
              <w:t>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FB29B3" w:rsidRDefault="00471D2E" w:rsidP="00471D2E">
      <w:pPr>
        <w:jc w:val="both"/>
        <w:rPr>
          <w:lang w:val="uk-UA"/>
        </w:rPr>
      </w:pP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752309" w:rsidRPr="00FB29B3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FB29B3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FB29B3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CA371F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193D56">
      <w:pPr>
        <w:tabs>
          <w:tab w:val="left" w:pos="993"/>
        </w:tabs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193D56"/>
    <w:rsid w:val="001A0894"/>
    <w:rsid w:val="002464B2"/>
    <w:rsid w:val="00451DAA"/>
    <w:rsid w:val="00471D2E"/>
    <w:rsid w:val="004C1C1F"/>
    <w:rsid w:val="00666D23"/>
    <w:rsid w:val="006B5B49"/>
    <w:rsid w:val="007130CB"/>
    <w:rsid w:val="00752309"/>
    <w:rsid w:val="007F269E"/>
    <w:rsid w:val="00A83F26"/>
    <w:rsid w:val="00BB3999"/>
    <w:rsid w:val="00CA371F"/>
    <w:rsid w:val="00D8670B"/>
    <w:rsid w:val="00DE0D81"/>
    <w:rsid w:val="00E9035D"/>
    <w:rsid w:val="00F40F39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PC_12</cp:lastModifiedBy>
  <cp:revision>10</cp:revision>
  <dcterms:created xsi:type="dcterms:W3CDTF">2022-12-26T09:30:00Z</dcterms:created>
  <dcterms:modified xsi:type="dcterms:W3CDTF">2023-01-05T07:38:00Z</dcterms:modified>
</cp:coreProperties>
</file>