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DC4ED8" w:rsidP="00561C46">
            <w:pPr>
              <w:jc w:val="both"/>
            </w:pPr>
            <w:r>
              <w:t>21</w:t>
            </w:r>
            <w:r w:rsidR="00561C46">
              <w:t>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561C46" w:rsidP="008838F0">
            <w:pPr>
              <w:jc w:val="both"/>
            </w:pPr>
            <w:r>
              <w:t>29</w:t>
            </w:r>
            <w:r w:rsidR="00DC4ED8">
              <w:t>.03</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E3A09" w:rsidRPr="009E3A09" w:rsidRDefault="00533607" w:rsidP="009E3A09">
      <w:pPr>
        <w:pStyle w:val="31"/>
        <w:spacing w:before="240"/>
        <w:rPr>
          <w:i/>
          <w:iCs/>
        </w:rPr>
      </w:pPr>
      <w:r w:rsidRPr="00E947EE">
        <w:rPr>
          <w:i/>
          <w:iCs/>
        </w:rPr>
        <w:t xml:space="preserve">на закупівлю </w:t>
      </w:r>
      <w:r w:rsidR="00BB1437">
        <w:rPr>
          <w:i/>
          <w:iCs/>
        </w:rPr>
        <w:t>вольтамперфазомір</w:t>
      </w:r>
      <w:r w:rsidR="009E3A09">
        <w:rPr>
          <w:i/>
          <w:iCs/>
        </w:rPr>
        <w:t xml:space="preserve"> </w:t>
      </w:r>
    </w:p>
    <w:p w:rsidR="009E3A09" w:rsidRDefault="009E3A09" w:rsidP="009E3A09">
      <w:pPr>
        <w:jc w:val="center"/>
        <w:rPr>
          <w:b/>
          <w:i/>
          <w:iCs/>
          <w:sz w:val="28"/>
          <w:szCs w:val="28"/>
        </w:rPr>
      </w:pPr>
    </w:p>
    <w:p w:rsidR="009E3A09" w:rsidRDefault="009E3A09" w:rsidP="009E3A09">
      <w:pPr>
        <w:jc w:val="center"/>
        <w:rPr>
          <w:b/>
          <w:i/>
          <w:iCs/>
          <w:sz w:val="28"/>
          <w:szCs w:val="28"/>
        </w:rPr>
      </w:pPr>
    </w:p>
    <w:p w:rsidR="009E3A09" w:rsidRDefault="009E3A09" w:rsidP="009E3A09">
      <w:pPr>
        <w:jc w:val="center"/>
        <w:rPr>
          <w:b/>
          <w:i/>
          <w:iCs/>
          <w:sz w:val="28"/>
          <w:szCs w:val="28"/>
        </w:rPr>
      </w:pPr>
      <w:r w:rsidRPr="00511C80">
        <w:rPr>
          <w:b/>
          <w:i/>
          <w:iCs/>
          <w:sz w:val="28"/>
          <w:szCs w:val="28"/>
        </w:rPr>
        <w:t xml:space="preserve"> </w:t>
      </w:r>
      <w:r w:rsidR="0024674C" w:rsidRPr="00511C80">
        <w:rPr>
          <w:b/>
          <w:i/>
          <w:iCs/>
          <w:sz w:val="28"/>
          <w:szCs w:val="28"/>
        </w:rPr>
        <w:t xml:space="preserve">(код ДК 021:2015 </w:t>
      </w:r>
      <w:r w:rsidR="00B24757" w:rsidRPr="00511C80">
        <w:rPr>
          <w:b/>
          <w:i/>
          <w:iCs/>
          <w:sz w:val="28"/>
          <w:szCs w:val="28"/>
        </w:rPr>
        <w:t>-</w:t>
      </w:r>
      <w:r w:rsidRPr="009E3A09">
        <w:rPr>
          <w:b/>
          <w:i/>
          <w:iCs/>
          <w:sz w:val="28"/>
          <w:szCs w:val="28"/>
        </w:rPr>
        <w:t xml:space="preserve"> </w:t>
      </w:r>
      <w:r w:rsidR="00BB1437">
        <w:rPr>
          <w:b/>
          <w:i/>
          <w:iCs/>
          <w:sz w:val="28"/>
          <w:szCs w:val="28"/>
        </w:rPr>
        <w:t>3</w:t>
      </w:r>
      <w:r w:rsidR="00BB1437" w:rsidRPr="00BB1437">
        <w:rPr>
          <w:b/>
          <w:i/>
          <w:iCs/>
          <w:sz w:val="28"/>
          <w:szCs w:val="28"/>
        </w:rPr>
        <w:t>8340000-0: Прилади для вимірювання величин</w:t>
      </w:r>
      <w:r w:rsidRPr="009E3A09">
        <w:rPr>
          <w:b/>
          <w:i/>
          <w:iCs/>
          <w:sz w:val="28"/>
          <w:szCs w:val="28"/>
        </w:rPr>
        <w:t>)</w:t>
      </w:r>
    </w:p>
    <w:p w:rsidR="000607DF" w:rsidRPr="009E3A09" w:rsidRDefault="000607DF" w:rsidP="009E3A09">
      <w:pPr>
        <w:jc w:val="center"/>
        <w:rPr>
          <w:b/>
          <w:i/>
          <w:iCs/>
          <w:sz w:val="28"/>
          <w:szCs w:val="28"/>
        </w:rPr>
      </w:pPr>
    </w:p>
    <w:p w:rsidR="00E16499" w:rsidRPr="00511C80" w:rsidRDefault="00E16499" w:rsidP="009E3A09">
      <w:pPr>
        <w:jc w:val="center"/>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00084A" w:rsidRDefault="0000084A" w:rsidP="008270EF">
      <w:pPr>
        <w:jc w:val="center"/>
        <w:rPr>
          <w:i/>
          <w:iCs/>
          <w:sz w:val="28"/>
        </w:rPr>
      </w:pPr>
    </w:p>
    <w:p w:rsidR="0000084A" w:rsidRDefault="0000084A" w:rsidP="008270EF">
      <w:pPr>
        <w:jc w:val="center"/>
        <w:rPr>
          <w:i/>
          <w:iCs/>
          <w:sz w:val="28"/>
        </w:rPr>
      </w:pPr>
    </w:p>
    <w:p w:rsidR="00BB1437" w:rsidRDefault="00BB1437" w:rsidP="008270EF">
      <w:pPr>
        <w:jc w:val="center"/>
        <w:rPr>
          <w:i/>
          <w:iCs/>
          <w:sz w:val="28"/>
        </w:rPr>
      </w:pPr>
    </w:p>
    <w:p w:rsidR="0000084A" w:rsidRDefault="0000084A" w:rsidP="008270EF">
      <w:pPr>
        <w:jc w:val="center"/>
        <w:rPr>
          <w:i/>
          <w:iCs/>
          <w:sz w:val="28"/>
        </w:rPr>
      </w:pPr>
    </w:p>
    <w:p w:rsidR="00871760" w:rsidRPr="00376823" w:rsidRDefault="00871760"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B1437" w:rsidRPr="009E3A09" w:rsidRDefault="00BB1437" w:rsidP="00BB1437">
            <w:pPr>
              <w:pStyle w:val="31"/>
              <w:spacing w:before="240"/>
              <w:rPr>
                <w:i/>
                <w:iCs/>
              </w:rPr>
            </w:pPr>
            <w:r>
              <w:rPr>
                <w:i/>
                <w:iCs/>
              </w:rPr>
              <w:t>В</w:t>
            </w:r>
            <w:r>
              <w:rPr>
                <w:i/>
                <w:iCs/>
              </w:rPr>
              <w:t xml:space="preserve">ольтамперфазомір </w:t>
            </w:r>
          </w:p>
          <w:p w:rsidR="00BB1437" w:rsidRDefault="00BB1437" w:rsidP="00B24757">
            <w:pPr>
              <w:pStyle w:val="31"/>
              <w:tabs>
                <w:tab w:val="clear" w:pos="426"/>
              </w:tabs>
              <w:rPr>
                <w:b w:val="0"/>
                <w:color w:val="000000" w:themeColor="text1"/>
              </w:rPr>
            </w:pPr>
          </w:p>
          <w:p w:rsidR="00B22166" w:rsidRDefault="00B22166" w:rsidP="00B24757">
            <w:pPr>
              <w:pStyle w:val="31"/>
              <w:tabs>
                <w:tab w:val="clear" w:pos="426"/>
              </w:tabs>
              <w:rPr>
                <w:b w:val="0"/>
                <w:color w:val="000000" w:themeColor="text1"/>
              </w:rPr>
            </w:pPr>
            <w:r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511C80" w:rsidRDefault="002E2B0B" w:rsidP="009E3A09">
            <w:pPr>
              <w:pStyle w:val="31"/>
              <w:tabs>
                <w:tab w:val="clear" w:pos="426"/>
              </w:tabs>
              <w:rPr>
                <w:i/>
                <w:iCs/>
                <w:sz w:val="24"/>
                <w:szCs w:val="24"/>
              </w:rPr>
            </w:pPr>
            <w:r w:rsidRPr="00511C80">
              <w:rPr>
                <w:i/>
                <w:iCs/>
              </w:rPr>
              <w:t>(код ДК 021:2015 -</w:t>
            </w:r>
            <w:r w:rsidR="00BB1437">
              <w:rPr>
                <w:b w:val="0"/>
                <w:i/>
                <w:iCs/>
              </w:rPr>
              <w:t>3</w:t>
            </w:r>
            <w:r w:rsidR="00BB1437" w:rsidRPr="00BB1437">
              <w:rPr>
                <w:b w:val="0"/>
                <w:i/>
                <w:iCs/>
              </w:rPr>
              <w:t>8340000-0: Прилади для вимірювання величин</w:t>
            </w:r>
            <w:r w:rsidR="00BB1437">
              <w:rPr>
                <w:i/>
                <w:iCs/>
                <w:sz w:val="24"/>
                <w:szCs w:val="24"/>
              </w:rPr>
              <w:t xml:space="preserve"> </w:t>
            </w:r>
            <w:r>
              <w:rPr>
                <w:i/>
                <w:iCs/>
                <w:sz w:val="24"/>
                <w:szCs w:val="24"/>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85346B" w:rsidRDefault="00BB1437" w:rsidP="009E3A09">
            <w:pPr>
              <w:pStyle w:val="a5"/>
              <w:tabs>
                <w:tab w:val="clear" w:pos="4677"/>
                <w:tab w:val="clear" w:pos="9355"/>
                <w:tab w:val="left" w:pos="1260"/>
                <w:tab w:val="left" w:pos="1980"/>
              </w:tabs>
              <w:rPr>
                <w:iCs/>
              </w:rPr>
            </w:pPr>
            <w:r>
              <w:rPr>
                <w:iCs/>
              </w:rPr>
              <w:t>3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2E2B0B" w:rsidRPr="007C68F3" w:rsidRDefault="000E2C48" w:rsidP="002E2B0B">
            <w:pPr>
              <w:jc w:val="both"/>
              <w:rPr>
                <w:b/>
                <w:bCs/>
                <w:lang w:eastAsia="uk-UA"/>
              </w:rPr>
            </w:pPr>
            <w:r>
              <w:t>---</w:t>
            </w:r>
            <w:r w:rsidR="002E2B0B" w:rsidRPr="007C68F3">
              <w:t xml:space="preserve"> Вартість </w:t>
            </w:r>
            <w:r w:rsidR="009E3A09">
              <w:t>товару</w:t>
            </w:r>
            <w:r w:rsidR="002E2B0B"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BB1437">
              <w:t>200152,80грн</w:t>
            </w:r>
            <w:r w:rsidR="002E2B0B" w:rsidRPr="007C68F3">
              <w:t xml:space="preserve">. ( з ПДВ) </w:t>
            </w:r>
            <w:r w:rsidR="002E2B0B" w:rsidRPr="007C68F3">
              <w:rPr>
                <w:b/>
                <w:bCs/>
              </w:rPr>
              <w:t xml:space="preserve">      </w:t>
            </w:r>
          </w:p>
          <w:p w:rsidR="002E2B0B" w:rsidRPr="007C68F3" w:rsidRDefault="002E2B0B" w:rsidP="002E2B0B">
            <w:pPr>
              <w:jc w:val="both"/>
            </w:pPr>
          </w:p>
          <w:p w:rsidR="002E2B0B" w:rsidRPr="007C68F3" w:rsidRDefault="002E2B0B" w:rsidP="002E2B0B">
            <w:pPr>
              <w:jc w:val="both"/>
            </w:pPr>
          </w:p>
          <w:p w:rsidR="002E2B0B" w:rsidRPr="007C68F3" w:rsidRDefault="002E2B0B" w:rsidP="002E2B0B">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bookmarkStart w:id="0" w:name="_GoBack"/>
            <w:bookmarkEnd w:id="0"/>
            <w:r w:rsidRPr="007C68F3">
              <w:rPr>
                <w:rFonts w:ascii="Times New Roman" w:hAnsi="Times New Roman"/>
                <w:i/>
                <w:sz w:val="24"/>
              </w:rPr>
              <w:t>:</w:t>
            </w:r>
          </w:p>
          <w:tbl>
            <w:tblPr>
              <w:tblStyle w:val="af5"/>
              <w:tblW w:w="0" w:type="auto"/>
              <w:tblLook w:val="04A0" w:firstRow="1" w:lastRow="0" w:firstColumn="1" w:lastColumn="0" w:noHBand="0" w:noVBand="1"/>
            </w:tblPr>
            <w:tblGrid>
              <w:gridCol w:w="1018"/>
              <w:gridCol w:w="2370"/>
              <w:gridCol w:w="1191"/>
              <w:gridCol w:w="1318"/>
              <w:gridCol w:w="1181"/>
            </w:tblGrid>
            <w:tr w:rsidR="002E2B0B" w:rsidRPr="007C68F3" w:rsidTr="0000084A">
              <w:tc>
                <w:tcPr>
                  <w:tcW w:w="1018" w:type="dxa"/>
                  <w:vAlign w:val="center"/>
                </w:tcPr>
                <w:p w:rsidR="002E2B0B" w:rsidRPr="007C68F3" w:rsidRDefault="002E2B0B" w:rsidP="00561C46">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370" w:type="dxa"/>
                  <w:vAlign w:val="center"/>
                </w:tcPr>
                <w:p w:rsidR="002E2B0B" w:rsidRPr="007C68F3" w:rsidRDefault="002E2B0B" w:rsidP="00561C46">
                  <w:pPr>
                    <w:framePr w:hSpace="180" w:wrap="around" w:vAnchor="text" w:hAnchor="text" w:xAlign="right" w:y="1"/>
                    <w:suppressOverlap/>
                    <w:outlineLvl w:val="0"/>
                  </w:pPr>
                  <w:r w:rsidRPr="007C68F3">
                    <w:t xml:space="preserve">Назва заходу </w:t>
                  </w:r>
                </w:p>
              </w:tc>
              <w:tc>
                <w:tcPr>
                  <w:tcW w:w="1191" w:type="dxa"/>
                  <w:vAlign w:val="center"/>
                </w:tcPr>
                <w:p w:rsidR="002E2B0B" w:rsidRPr="007C68F3" w:rsidRDefault="002E2B0B" w:rsidP="00561C46">
                  <w:pPr>
                    <w:framePr w:hSpace="180" w:wrap="around" w:vAnchor="text" w:hAnchor="text" w:xAlign="right" w:y="1"/>
                    <w:suppressOverlap/>
                    <w:jc w:val="center"/>
                    <w:outlineLvl w:val="0"/>
                  </w:pPr>
                  <w:r w:rsidRPr="007C68F3">
                    <w:t>Од.вим.</w:t>
                  </w:r>
                </w:p>
              </w:tc>
              <w:tc>
                <w:tcPr>
                  <w:tcW w:w="1318" w:type="dxa"/>
                  <w:vAlign w:val="center"/>
                </w:tcPr>
                <w:p w:rsidR="002E2B0B" w:rsidRPr="007C68F3" w:rsidRDefault="002E2B0B" w:rsidP="00561C46">
                  <w:pPr>
                    <w:framePr w:hSpace="180" w:wrap="around" w:vAnchor="text" w:hAnchor="text" w:xAlign="right" w:y="1"/>
                    <w:suppressOverlap/>
                    <w:jc w:val="center"/>
                    <w:rPr>
                      <w:lang w:eastAsia="uk-UA"/>
                    </w:rPr>
                  </w:pPr>
                  <w:r w:rsidRPr="007C68F3">
                    <w:t xml:space="preserve"> кількість* </w:t>
                  </w:r>
                </w:p>
              </w:tc>
              <w:tc>
                <w:tcPr>
                  <w:tcW w:w="1181" w:type="dxa"/>
                  <w:vAlign w:val="center"/>
                </w:tcPr>
                <w:p w:rsidR="002E2B0B" w:rsidRPr="007C68F3" w:rsidRDefault="002E2B0B" w:rsidP="00561C46">
                  <w:pPr>
                    <w:framePr w:hSpace="180" w:wrap="around" w:vAnchor="text" w:hAnchor="text" w:xAlign="right" w:y="1"/>
                    <w:suppressOverlap/>
                    <w:jc w:val="center"/>
                  </w:pPr>
                  <w:r w:rsidRPr="007C68F3">
                    <w:t xml:space="preserve"> </w:t>
                  </w:r>
                  <w:r w:rsidR="00414A2F">
                    <w:t xml:space="preserve">Вартість </w:t>
                  </w:r>
                  <w:r w:rsidRPr="007C68F3">
                    <w:t xml:space="preserve">грн (з ПДВ) </w:t>
                  </w:r>
                </w:p>
              </w:tc>
            </w:tr>
            <w:tr w:rsidR="00BB1437" w:rsidRPr="007C68F3" w:rsidTr="0000084A">
              <w:tc>
                <w:tcPr>
                  <w:tcW w:w="1018" w:type="dxa"/>
                  <w:vAlign w:val="center"/>
                </w:tcPr>
                <w:p w:rsidR="00BB1437" w:rsidRDefault="00BB1437" w:rsidP="00BB1437">
                  <w:pPr>
                    <w:framePr w:hSpace="180" w:wrap="around" w:vAnchor="text" w:hAnchor="text" w:xAlign="right" w:y="1"/>
                    <w:suppressOverlap/>
                    <w:jc w:val="center"/>
                    <w:rPr>
                      <w:lang w:eastAsia="uk-UA"/>
                    </w:rPr>
                  </w:pPr>
                  <w:r>
                    <w:t>7.4.2</w:t>
                  </w:r>
                </w:p>
              </w:tc>
              <w:tc>
                <w:tcPr>
                  <w:tcW w:w="2370" w:type="dxa"/>
                  <w:vAlign w:val="center"/>
                </w:tcPr>
                <w:p w:rsidR="00BB1437" w:rsidRDefault="00BB1437" w:rsidP="00BB1437">
                  <w:pPr>
                    <w:framePr w:hSpace="180" w:wrap="around" w:vAnchor="text" w:hAnchor="text" w:xAlign="right" w:y="1"/>
                    <w:suppressOverlap/>
                    <w:rPr>
                      <w:color w:val="000000"/>
                    </w:rPr>
                  </w:pPr>
                  <w:r>
                    <w:rPr>
                      <w:color w:val="000000"/>
                    </w:rPr>
                    <w:t xml:space="preserve"> Вольтамперфазомір (ВАФ) МІРА-А (Evartis) або еквівалент</w:t>
                  </w:r>
                </w:p>
              </w:tc>
              <w:tc>
                <w:tcPr>
                  <w:tcW w:w="1191" w:type="dxa"/>
                  <w:vAlign w:val="center"/>
                </w:tcPr>
                <w:p w:rsidR="00BB1437" w:rsidRDefault="00BB1437" w:rsidP="00BB1437">
                  <w:pPr>
                    <w:framePr w:hSpace="180" w:wrap="around" w:vAnchor="text" w:hAnchor="text" w:xAlign="right" w:y="1"/>
                    <w:suppressOverlap/>
                    <w:jc w:val="center"/>
                  </w:pPr>
                  <w:r>
                    <w:t>шт</w:t>
                  </w:r>
                </w:p>
              </w:tc>
              <w:tc>
                <w:tcPr>
                  <w:tcW w:w="1318" w:type="dxa"/>
                  <w:vAlign w:val="center"/>
                </w:tcPr>
                <w:p w:rsidR="00BB1437" w:rsidRDefault="00BB1437" w:rsidP="00BB1437">
                  <w:pPr>
                    <w:framePr w:hSpace="180" w:wrap="around" w:vAnchor="text" w:hAnchor="text" w:xAlign="right" w:y="1"/>
                    <w:suppressOverlap/>
                    <w:jc w:val="center"/>
                  </w:pPr>
                  <w:r>
                    <w:t>3</w:t>
                  </w:r>
                </w:p>
              </w:tc>
              <w:tc>
                <w:tcPr>
                  <w:tcW w:w="1181" w:type="dxa"/>
                  <w:vAlign w:val="center"/>
                </w:tcPr>
                <w:p w:rsidR="00BB1437" w:rsidRDefault="00BB1437" w:rsidP="00BB1437">
                  <w:pPr>
                    <w:framePr w:hSpace="180" w:wrap="around" w:vAnchor="text" w:hAnchor="text" w:xAlign="right" w:y="1"/>
                    <w:suppressOverlap/>
                    <w:jc w:val="right"/>
                  </w:pPr>
                  <w:r>
                    <w:t>66717,80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w:t>
            </w:r>
            <w:r w:rsidRPr="003D6221">
              <w:lastRenderedPageBreak/>
              <w:t>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w:t>
            </w:r>
            <w:r w:rsidRPr="003D6221">
              <w:rPr>
                <w:color w:val="000000" w:themeColor="text1"/>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w:t>
            </w:r>
            <w:r w:rsidRPr="003D6221">
              <w:rPr>
                <w:rFonts w:ascii="Times New Roman" w:hAnsi="Times New Roman"/>
                <w:color w:val="000000" w:themeColor="text1"/>
                <w:sz w:val="24"/>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3D6221">
              <w:rPr>
                <w:rFonts w:ascii="Times New Roman" w:hAnsi="Times New Roman"/>
                <w:color w:val="000000" w:themeColor="text1"/>
                <w:sz w:val="24"/>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w:t>
            </w:r>
            <w:r>
              <w:lastRenderedPageBreak/>
              <w:t xml:space="preserve">«довідка»;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 xml:space="preserve">1. Учасники відповідають за зміст своїх тендерних пропозицій та повинні </w:t>
            </w:r>
            <w:r w:rsidRPr="003D6221">
              <w:rPr>
                <w:color w:val="000000" w:themeColor="text1"/>
              </w:rPr>
              <w:lastRenderedPageBreak/>
              <w:t>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w:t>
            </w:r>
            <w:r w:rsidRPr="003D6221">
              <w:rPr>
                <w:color w:val="000000" w:themeColor="text1"/>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838F0">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8838F0">
              <w:rPr>
                <w:rFonts w:ascii="Times New Roman" w:hAnsi="Times New Roman"/>
                <w:color w:val="000000" w:themeColor="text1"/>
                <w:sz w:val="24"/>
              </w:rPr>
              <w:t>/ Ісламської республіки Іран</w:t>
            </w:r>
            <w:r w:rsidR="008838F0"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838F0">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xml:space="preserve">, назву документа (форми), дату складання, зміст та обсяг господарської операції, одиницю виміру </w:t>
            </w:r>
            <w:r w:rsidRPr="00C941C6">
              <w:lastRenderedPageBreak/>
              <w:t>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BB071E" w:rsidRPr="001C66E1" w:rsidRDefault="00BB071E" w:rsidP="00BB071E">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BB071E" w:rsidRPr="001C66E1" w:rsidRDefault="00BB071E" w:rsidP="00BB071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w:t>
            </w:r>
            <w:r w:rsidR="00414A2F">
              <w:rPr>
                <w:rFonts w:ascii="Times New Roman" w:hAnsi="Times New Roman"/>
                <w:sz w:val="24"/>
                <w:lang w:eastAsia="uk-UA"/>
              </w:rPr>
              <w:t>3</w:t>
            </w:r>
            <w:r w:rsidRPr="00085A33">
              <w:rPr>
                <w:rFonts w:ascii="Times New Roman" w:hAnsi="Times New Roman"/>
                <w:sz w:val="24"/>
                <w:lang w:eastAsia="uk-UA"/>
              </w:rPr>
              <w:t xml:space="preserve"> рік:</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про перевірку звіту та його приймання (квитанція №2). Якщо фінансова звітність подавалася 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14A2F">
              <w:rPr>
                <w:rFonts w:ascii="Times New Roman" w:hAnsi="Times New Roman"/>
                <w:sz w:val="24"/>
                <w:lang w:eastAsia="uk-UA"/>
              </w:rPr>
              <w:t>3</w:t>
            </w:r>
            <w:r w:rsidRPr="00085A33">
              <w:rPr>
                <w:rFonts w:ascii="Times New Roman" w:hAnsi="Times New Roman"/>
                <w:sz w:val="24"/>
                <w:lang w:eastAsia="uk-UA"/>
              </w:rPr>
              <w:t xml:space="preserve">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BB071E" w:rsidRPr="00C941C6" w:rsidRDefault="00BB071E" w:rsidP="00BB071E">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sidRPr="00EC1A6F">
              <w:rPr>
                <w:rFonts w:ascii="Times New Roman" w:hAnsi="Times New Roman"/>
                <w:sz w:val="24"/>
              </w:rPr>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00E16499" w:rsidRPr="00EC1A6F">
              <w:rPr>
                <w:rFonts w:ascii="Times New Roman" w:hAnsi="Times New Roman"/>
                <w:sz w:val="24"/>
              </w:rPr>
              <w:t>у санкційних списках</w:t>
            </w:r>
            <w:r w:rsidR="00E16499">
              <w:rPr>
                <w:rFonts w:ascii="Times New Roman" w:hAnsi="Times New Roman"/>
                <w:sz w:val="24"/>
              </w:rPr>
              <w:t>;</w:t>
            </w:r>
          </w:p>
          <w:p w:rsidR="008D08BD" w:rsidRDefault="008D08BD" w:rsidP="00907138">
            <w:pPr>
              <w:pStyle w:val="HTML"/>
              <w:tabs>
                <w:tab w:val="clear" w:pos="916"/>
                <w:tab w:val="clear" w:pos="1832"/>
              </w:tabs>
              <w:jc w:val="both"/>
              <w:rPr>
                <w:rFonts w:ascii="Times New Roman" w:hAnsi="Times New Roman"/>
                <w:sz w:val="24"/>
              </w:rPr>
            </w:pPr>
          </w:p>
          <w:p w:rsidR="008D08BD" w:rsidRDefault="00907138" w:rsidP="008D08BD">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Pr>
                <w:rFonts w:ascii="Times New Roman" w:hAnsi="Times New Roman"/>
                <w:sz w:val="24"/>
              </w:rPr>
              <w:t>власний лист учасника, що товар є новий та не перебував в експлуатації;</w:t>
            </w:r>
          </w:p>
          <w:p w:rsidR="008D08BD" w:rsidRDefault="008D08BD" w:rsidP="008D08BD">
            <w:pPr>
              <w:pStyle w:val="HTML"/>
              <w:tabs>
                <w:tab w:val="clear" w:pos="916"/>
                <w:tab w:val="clear" w:pos="1832"/>
              </w:tabs>
              <w:jc w:val="both"/>
              <w:rPr>
                <w:rFonts w:ascii="Times New Roman" w:hAnsi="Times New Roman"/>
                <w:sz w:val="24"/>
              </w:rPr>
            </w:pPr>
          </w:p>
          <w:p w:rsidR="00907138" w:rsidRPr="008D08BD" w:rsidRDefault="008D08BD" w:rsidP="008D08BD">
            <w:pPr>
              <w:pStyle w:val="HTML"/>
              <w:tabs>
                <w:tab w:val="clear" w:pos="916"/>
                <w:tab w:val="clear" w:pos="1832"/>
              </w:tabs>
              <w:jc w:val="both"/>
              <w:rPr>
                <w:rFonts w:ascii="Times New Roman" w:hAnsi="Times New Roman"/>
                <w:sz w:val="24"/>
              </w:rPr>
            </w:pPr>
            <w:r>
              <w:rPr>
                <w:rFonts w:ascii="Times New Roman" w:hAnsi="Times New Roman"/>
                <w:sz w:val="24"/>
              </w:rPr>
              <w:t>- п</w:t>
            </w:r>
            <w:r w:rsidR="00907138" w:rsidRPr="008D08BD">
              <w:rPr>
                <w:rFonts w:ascii="Times New Roman" w:hAnsi="Times New Roman"/>
                <w:sz w:val="24"/>
              </w:rPr>
              <w:t>аспорти та/або інструкції з експлуатації та/або технічні описи /інші документи виробників предмету закупівлі, що підтверджують технічні та якісні параметри предмета закупівлі</w:t>
            </w:r>
            <w:r w:rsidR="00907138">
              <w:t>.</w:t>
            </w:r>
          </w:p>
          <w:p w:rsidR="0003190E" w:rsidRDefault="0003190E" w:rsidP="00E059C6">
            <w:pPr>
              <w:tabs>
                <w:tab w:val="left" w:pos="142"/>
                <w:tab w:val="left" w:pos="1134"/>
              </w:tabs>
              <w:jc w:val="both"/>
            </w:pPr>
          </w:p>
          <w:p w:rsidR="008D08BD" w:rsidRPr="008D08BD" w:rsidRDefault="008D08BD" w:rsidP="00BB1437">
            <w:r>
              <w:t>-власна довідка щодо термінів поставки облад</w:t>
            </w:r>
            <w:r w:rsidR="003E4D7F">
              <w:t>н</w:t>
            </w:r>
            <w:r>
              <w:t>ання;</w:t>
            </w:r>
          </w:p>
          <w:p w:rsidR="0003190E" w:rsidRDefault="0003190E" w:rsidP="0003190E">
            <w:pPr>
              <w:pStyle w:val="HTML"/>
              <w:tabs>
                <w:tab w:val="clear" w:pos="916"/>
                <w:tab w:val="clear" w:pos="1832"/>
              </w:tabs>
              <w:jc w:val="both"/>
              <w:rPr>
                <w:rFonts w:ascii="Times New Roman" w:hAnsi="Times New Roman"/>
                <w:sz w:val="24"/>
              </w:rPr>
            </w:pPr>
          </w:p>
          <w:p w:rsidR="00E16499" w:rsidRDefault="00E16499" w:rsidP="0003190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lastRenderedPageBreak/>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BB1437" w:rsidRPr="001C66E1" w:rsidRDefault="00BB1437" w:rsidP="00BB1437">
            <w:pPr>
              <w:jc w:val="both"/>
            </w:pPr>
            <w:r w:rsidRPr="001C66E1">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BB1437" w:rsidRPr="001C66E1" w:rsidRDefault="00BB1437" w:rsidP="00BB143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C66E1">
              <w:rPr>
                <w:rFonts w:ascii="Times New Roman" w:hAnsi="Times New Roman"/>
                <w:sz w:val="24"/>
              </w:rPr>
              <w:t>заданим вимогам, які стосуються об</w:t>
            </w:r>
            <w:r>
              <w:rPr>
                <w:rFonts w:ascii="Times New Roman" w:hAnsi="Times New Roman"/>
                <w:sz w:val="24"/>
              </w:rPr>
              <w:t>’</w:t>
            </w:r>
            <w:r w:rsidRPr="001C66E1">
              <w:rPr>
                <w:rFonts w:ascii="Times New Roman" w:hAnsi="Times New Roman"/>
                <w:sz w:val="24"/>
              </w:rPr>
              <w:t>єкта оцінки відповідності:</w:t>
            </w:r>
          </w:p>
          <w:p w:rsidR="00491694" w:rsidRDefault="00BB1437" w:rsidP="00BB1437">
            <w:pPr>
              <w:jc w:val="both"/>
              <w:rPr>
                <w:color w:val="000000" w:themeColor="text1"/>
              </w:rPr>
            </w:pPr>
            <w:r w:rsidRPr="00E00C43">
              <w:rPr>
                <w:color w:val="000000" w:themeColor="text1"/>
                <w:lang w:eastAsia="uk-UA"/>
              </w:rPr>
              <w:t xml:space="preserve">* </w:t>
            </w:r>
            <w:r w:rsidRPr="00E00C43">
              <w:rPr>
                <w:color w:val="000000" w:themeColor="text1"/>
              </w:rPr>
              <w:t xml:space="preserve">сертифікат відповідності засобів вимірювальної техніки, щодо відповідності вимогам Технічного регламенту законодавчо регульованих засобів вимірювальної техніки, затвердженого постановою Кабінету Міністрів України від 13 січня 2016 р. № 94 (Модуль </w:t>
            </w:r>
            <w:r w:rsidRPr="00E00C43">
              <w:rPr>
                <w:color w:val="000000" w:themeColor="text1"/>
                <w:lang w:val="en-US"/>
              </w:rPr>
              <w:t>F</w:t>
            </w:r>
            <w:r>
              <w:rPr>
                <w:color w:val="000000" w:themeColor="text1"/>
              </w:rPr>
              <w:t>1</w:t>
            </w:r>
            <w:r w:rsidRPr="00E00C43">
              <w:rPr>
                <w:color w:val="000000" w:themeColor="text1"/>
              </w:rPr>
              <w:t>), видані органом з оцінки відповідності або державним науково-виробничим центром стандартизації, метрології, сертифікації та захисту прав споживачів, з додатками (за наявності додаткі</w:t>
            </w:r>
            <w:r>
              <w:rPr>
                <w:color w:val="000000" w:themeColor="text1"/>
              </w:rPr>
              <w:t>)</w:t>
            </w:r>
          </w:p>
          <w:p w:rsidR="00BB1437" w:rsidRDefault="00BB1437" w:rsidP="00BB1437">
            <w:pPr>
              <w:jc w:val="both"/>
              <w:rPr>
                <w:color w:val="000000" w:themeColor="text1"/>
              </w:rPr>
            </w:pPr>
            <w:r>
              <w:rPr>
                <w:color w:val="000000" w:themeColor="text1"/>
              </w:rPr>
              <w:t xml:space="preserve">АБО </w:t>
            </w:r>
          </w:p>
          <w:p w:rsidR="00BB1437" w:rsidRDefault="00BB1437" w:rsidP="00BB143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lang w:eastAsia="uk-UA"/>
              </w:rPr>
              <w:t>декларація про відповідність Технічного регламенту низьковольтного електричного  обладнання, затвердженого Постановою Кабінету Міністрів України від 16 грудня 2015 р., № 1067;</w:t>
            </w:r>
          </w:p>
          <w:p w:rsidR="00BB1437" w:rsidRDefault="00BB1437" w:rsidP="00BB143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lang w:eastAsia="uk-UA"/>
              </w:rPr>
              <w:t>АБО</w:t>
            </w:r>
          </w:p>
          <w:p w:rsidR="00BB1437" w:rsidRPr="00EE65D9" w:rsidRDefault="00BB1437" w:rsidP="00BB1437">
            <w:pPr>
              <w:jc w:val="both"/>
            </w:pPr>
            <w:r w:rsidRPr="001C66E1">
              <w:rPr>
                <w:lang w:eastAsia="uk-UA"/>
              </w:rPr>
              <w:t>*</w:t>
            </w:r>
            <w:r>
              <w:rPr>
                <w:lang w:eastAsia="uk-UA"/>
              </w:rPr>
              <w:t xml:space="preserve"> декларація про відповідність Технічного регламенту з електромагнітної сумісності обладнання, затвердженого Постановою Кабінету Міністрів України від 16 грудня 2015 р., № 1077.</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491694">
            <w:pPr>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491694">
            <w:pPr>
              <w:pBdr>
                <w:top w:val="nil"/>
                <w:left w:val="nil"/>
                <w:bottom w:val="nil"/>
                <w:right w:val="nil"/>
                <w:between w:val="nil"/>
              </w:pBdr>
              <w:jc w:val="both"/>
            </w:pPr>
          </w:p>
          <w:p w:rsidR="00E022ED" w:rsidRPr="003D6221" w:rsidRDefault="00E022ED" w:rsidP="00491694">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3D6221">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491694">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491694">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491694">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491694">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491694">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491694">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491694">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491694">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491694">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491694" w:rsidRDefault="00E022ED" w:rsidP="00491694">
            <w:pPr>
              <w:ind w:firstLine="567"/>
              <w:jc w:val="both"/>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91694">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022ED" w:rsidRPr="003D6221" w:rsidRDefault="00E022ED" w:rsidP="00491694">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491694">
            <w:pPr>
              <w:jc w:val="both"/>
            </w:pPr>
          </w:p>
          <w:p w:rsidR="00E022ED" w:rsidRPr="003D6221" w:rsidRDefault="00E022ED" w:rsidP="00491694">
            <w:pPr>
              <w:jc w:val="both"/>
            </w:pPr>
            <w:r w:rsidRPr="003D6221">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491694">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491694">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491694">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491694">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491694">
            <w:pPr>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491694">
            <w:pPr>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3D6221">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491694">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lastRenderedPageBreak/>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A75F15">
              <w:t>4</w:t>
            </w:r>
            <w:r w:rsidRPr="00BB3449">
              <w:t xml:space="preserve"> році - </w:t>
            </w:r>
            <w:r w:rsidR="00A75F15">
              <w:t>20</w:t>
            </w:r>
            <w:r w:rsidRPr="00BB3449">
              <w:t xml:space="preserve"> (</w:t>
            </w:r>
            <w:r w:rsidR="00A75F15">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D57BCD" w:rsidP="00E022ED">
            <w:pPr>
              <w:widowControl w:val="0"/>
              <w:ind w:left="40" w:right="120"/>
              <w:jc w:val="both"/>
              <w:rPr>
                <w:b/>
                <w:color w:val="000000" w:themeColor="text1"/>
              </w:rPr>
            </w:pPr>
            <w:r>
              <w:rPr>
                <w:b/>
                <w:color w:val="000000" w:themeColor="text1"/>
              </w:rPr>
              <w:t>08</w:t>
            </w:r>
            <w:r w:rsidR="00913356">
              <w:rPr>
                <w:b/>
                <w:color w:val="000000" w:themeColor="text1"/>
              </w:rPr>
              <w:t>.0</w:t>
            </w:r>
            <w:r w:rsidR="00491694">
              <w:rPr>
                <w:b/>
                <w:color w:val="000000" w:themeColor="text1"/>
              </w:rPr>
              <w:t>4</w:t>
            </w:r>
            <w:r w:rsidR="003417C2">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w:t>
            </w:r>
            <w:r w:rsidRPr="003D6221">
              <w:rPr>
                <w:color w:val="000000" w:themeColor="text1"/>
              </w:rPr>
              <w:lastRenderedPageBreak/>
              <w:t>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D6221">
              <w:rPr>
                <w:color w:val="000000" w:themeColor="text1"/>
              </w:rPr>
              <w:lastRenderedPageBreak/>
              <w:t>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3D6221">
              <w:rPr>
                <w:b/>
                <w:i/>
                <w:color w:val="000000" w:themeColor="text1"/>
              </w:rPr>
              <w:lastRenderedPageBreak/>
              <w:t xml:space="preserve">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561C46">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561C4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561C46">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91694" w:rsidRPr="003D6221" w:rsidRDefault="00491694" w:rsidP="00561C46">
                  <w:pPr>
                    <w:framePr w:hSpace="180" w:wrap="around" w:vAnchor="text" w:hAnchor="text" w:xAlign="right" w:y="1"/>
                    <w:ind w:right="140"/>
                    <w:suppressOverlap/>
                    <w:jc w:val="both"/>
                    <w:rPr>
                      <w:color w:val="000000" w:themeColor="text1"/>
                      <w:sz w:val="20"/>
                      <w:szCs w:val="20"/>
                    </w:rPr>
                  </w:pPr>
                  <w:r w:rsidRPr="00456204">
                    <w:rPr>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19" w:history="1">
                    <w:r w:rsidRPr="00456204">
                      <w:rPr>
                        <w:shd w:val="clear" w:color="auto" w:fill="FFFFFF"/>
                      </w:rPr>
                      <w:t>https://corruptinfo.nazk.gov.ua/</w:t>
                    </w:r>
                  </w:hyperlink>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561C46">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lastRenderedPageBreak/>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561C46">
                  <w:pPr>
                    <w:framePr w:hSpace="180" w:wrap="around" w:vAnchor="text" w:hAnchor="text" w:xAlign="right" w:y="1"/>
                    <w:suppressOverlap/>
                    <w:jc w:val="both"/>
                    <w:rPr>
                      <w:b/>
                      <w:color w:val="000000" w:themeColor="text1"/>
                      <w:sz w:val="20"/>
                      <w:szCs w:val="20"/>
                    </w:rPr>
                  </w:pPr>
                </w:p>
                <w:p w:rsidR="00E022ED" w:rsidRPr="003D6221" w:rsidRDefault="00E022ED" w:rsidP="00561C46">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561C4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561C4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561C46">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561C4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561C46">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91694" w:rsidRPr="003D6221" w:rsidRDefault="00491694" w:rsidP="00561C46">
                  <w:pPr>
                    <w:framePr w:hSpace="180" w:wrap="around" w:vAnchor="text" w:hAnchor="text" w:xAlign="right" w:y="1"/>
                    <w:ind w:right="140"/>
                    <w:suppressOverlap/>
                    <w:jc w:val="both"/>
                    <w:rPr>
                      <w:color w:val="000000" w:themeColor="text1"/>
                      <w:sz w:val="20"/>
                      <w:szCs w:val="20"/>
                    </w:rPr>
                  </w:pPr>
                  <w:r w:rsidRPr="00456204">
                    <w:rPr>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20" w:history="1">
                    <w:r w:rsidRPr="00456204">
                      <w:rPr>
                        <w:shd w:val="clear" w:color="auto" w:fill="FFFFFF"/>
                      </w:rPr>
                      <w:t>https://corruptinfo.nazk.gov.ua/</w:t>
                    </w:r>
                  </w:hyperlink>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561C46">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561C46">
                  <w:pPr>
                    <w:framePr w:hSpace="180" w:wrap="around" w:vAnchor="text" w:hAnchor="text" w:xAlign="right" w:y="1"/>
                    <w:suppressOverlap/>
                    <w:jc w:val="both"/>
                    <w:rPr>
                      <w:b/>
                      <w:color w:val="000000" w:themeColor="text1"/>
                      <w:sz w:val="20"/>
                      <w:szCs w:val="20"/>
                    </w:rPr>
                  </w:pPr>
                </w:p>
                <w:p w:rsidR="00E022ED" w:rsidRPr="003D6221" w:rsidRDefault="00E022ED" w:rsidP="00561C4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561C46">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561C46">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8838F0">
                    <w:rPr>
                      <w:color w:val="000000" w:themeColor="text1"/>
                      <w:sz w:val="20"/>
                      <w:szCs w:val="20"/>
                    </w:rPr>
                    <w:t>/</w:t>
                  </w:r>
                  <w:r w:rsidR="008838F0">
                    <w:rPr>
                      <w:color w:val="000000" w:themeColor="text1"/>
                    </w:rPr>
                    <w:t xml:space="preserve"> Ісламської республіки Іран</w:t>
                  </w:r>
                  <w:r w:rsidR="008838F0"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561C46">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561C4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61C46">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561C4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61C46">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561C46">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61C46">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561C46">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61C46">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61C46">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2"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w:t>
            </w:r>
            <w:r w:rsidRPr="003D6221">
              <w:rPr>
                <w:color w:val="000000" w:themeColor="text1"/>
                <w:lang w:eastAsia="uk-UA"/>
              </w:rPr>
              <w:lastRenderedPageBreak/>
              <w:t>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838F0">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838F0">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838F0">
              <w:rPr>
                <w:color w:val="000000" w:themeColor="text1"/>
              </w:rPr>
              <w:t>/ Ісламської республіки Іран</w:t>
            </w:r>
            <w:r w:rsidR="008838F0"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4"/>
          <w:headerReference w:type="default" r:id="rId25"/>
          <w:footerReference w:type="even" r:id="rId26"/>
          <w:footerReference w:type="default" r:id="rId27"/>
          <w:headerReference w:type="first" r:id="rId28"/>
          <w:footerReference w:type="first" r:id="rId29"/>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3417C2" w:rsidRPr="00E336F0" w:rsidRDefault="003417C2" w:rsidP="003417C2">
      <w:pPr>
        <w:jc w:val="center"/>
        <w:rPr>
          <w:b/>
        </w:rPr>
      </w:pPr>
    </w:p>
    <w:p w:rsidR="001A0240" w:rsidRPr="00E336F0" w:rsidRDefault="001A0240" w:rsidP="001A0240">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1A0240" w:rsidRPr="00E336F0" w:rsidRDefault="001A0240" w:rsidP="001A0240">
      <w:pPr>
        <w:jc w:val="center"/>
      </w:pPr>
    </w:p>
    <w:p w:rsidR="001A0240" w:rsidRPr="00E336F0" w:rsidRDefault="001A0240" w:rsidP="001A0240">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1A0240" w:rsidRPr="00E336F0" w:rsidRDefault="001A0240" w:rsidP="001A0240">
      <w:pPr>
        <w:jc w:val="both"/>
        <w:rPr>
          <w:lang w:val="ru-RU"/>
        </w:rPr>
      </w:pPr>
    </w:p>
    <w:p w:rsidR="001A0240" w:rsidRPr="00E336F0" w:rsidRDefault="001A0240" w:rsidP="001A0240">
      <w:pPr>
        <w:numPr>
          <w:ilvl w:val="0"/>
          <w:numId w:val="9"/>
        </w:numPr>
        <w:contextualSpacing/>
        <w:jc w:val="center"/>
        <w:rPr>
          <w:lang w:val="en-US"/>
        </w:rPr>
      </w:pPr>
      <w:r w:rsidRPr="00E336F0">
        <w:rPr>
          <w:b/>
          <w:lang w:val="ru-RU"/>
        </w:rPr>
        <w:t>ПРЕДМЕТ ДОГОВОРУ</w:t>
      </w:r>
    </w:p>
    <w:p w:rsidR="001A0240" w:rsidRPr="00A65361" w:rsidRDefault="001A0240" w:rsidP="001A0240">
      <w:pPr>
        <w:numPr>
          <w:ilvl w:val="1"/>
          <w:numId w:val="9"/>
        </w:numPr>
        <w:tabs>
          <w:tab w:val="left" w:pos="5760"/>
        </w:tabs>
        <w:jc w:val="both"/>
        <w:rPr>
          <w:lang w:val="ru-RU"/>
        </w:rPr>
      </w:pPr>
      <w:r w:rsidRPr="009761CD">
        <w:rPr>
          <w:lang w:val="ru-RU"/>
        </w:rPr>
        <w:t>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543"/>
        <w:gridCol w:w="993"/>
        <w:gridCol w:w="992"/>
        <w:gridCol w:w="1134"/>
        <w:gridCol w:w="1701"/>
      </w:tblGrid>
      <w:tr w:rsidR="001A0240" w:rsidRPr="00904825" w:rsidTr="00D920FE">
        <w:trPr>
          <w:trHeight w:val="776"/>
        </w:trPr>
        <w:tc>
          <w:tcPr>
            <w:tcW w:w="567" w:type="dxa"/>
            <w:vAlign w:val="center"/>
          </w:tcPr>
          <w:p w:rsidR="001A0240" w:rsidRPr="00852E29" w:rsidRDefault="001A0240" w:rsidP="00D920FE">
            <w:pPr>
              <w:jc w:val="center"/>
              <w:rPr>
                <w:b/>
                <w:sz w:val="20"/>
                <w:szCs w:val="20"/>
              </w:rPr>
            </w:pPr>
            <w:r w:rsidRPr="00852E29">
              <w:rPr>
                <w:b/>
                <w:bCs/>
                <w:sz w:val="20"/>
                <w:szCs w:val="20"/>
                <w:lang w:eastAsia="uk-UA"/>
              </w:rPr>
              <w:t>№</w:t>
            </w:r>
            <w:r w:rsidRPr="00852E29">
              <w:rPr>
                <w:b/>
                <w:sz w:val="20"/>
                <w:szCs w:val="20"/>
              </w:rPr>
              <w:t xml:space="preserve"> </w:t>
            </w:r>
          </w:p>
        </w:tc>
        <w:tc>
          <w:tcPr>
            <w:tcW w:w="993" w:type="dxa"/>
            <w:vAlign w:val="center"/>
          </w:tcPr>
          <w:p w:rsidR="001A0240" w:rsidRPr="00852E29" w:rsidRDefault="001A0240" w:rsidP="00D920FE">
            <w:pPr>
              <w:jc w:val="center"/>
              <w:rPr>
                <w:b/>
                <w:sz w:val="20"/>
                <w:szCs w:val="20"/>
              </w:rPr>
            </w:pPr>
            <w:r w:rsidRPr="00852E29">
              <w:rPr>
                <w:b/>
                <w:sz w:val="20"/>
                <w:szCs w:val="20"/>
              </w:rPr>
              <w:t>Іденти-фікатор</w:t>
            </w:r>
          </w:p>
          <w:p w:rsidR="001A0240" w:rsidRPr="00852E29" w:rsidRDefault="001A0240" w:rsidP="00D920FE">
            <w:pPr>
              <w:jc w:val="center"/>
              <w:rPr>
                <w:b/>
                <w:sz w:val="20"/>
                <w:szCs w:val="20"/>
              </w:rPr>
            </w:pPr>
            <w:r w:rsidRPr="00852E29">
              <w:rPr>
                <w:b/>
                <w:sz w:val="20"/>
                <w:szCs w:val="20"/>
              </w:rPr>
              <w:t>ІП 2024</w:t>
            </w:r>
          </w:p>
        </w:tc>
        <w:tc>
          <w:tcPr>
            <w:tcW w:w="3543" w:type="dxa"/>
            <w:vAlign w:val="center"/>
          </w:tcPr>
          <w:p w:rsidR="001A0240" w:rsidRPr="00852E29" w:rsidRDefault="001A0240" w:rsidP="00D920FE">
            <w:pPr>
              <w:jc w:val="center"/>
              <w:rPr>
                <w:b/>
                <w:sz w:val="20"/>
                <w:szCs w:val="20"/>
              </w:rPr>
            </w:pPr>
            <w:r w:rsidRPr="00852E29">
              <w:rPr>
                <w:b/>
                <w:sz w:val="20"/>
                <w:szCs w:val="20"/>
              </w:rPr>
              <w:t>Предмет закупівлі</w:t>
            </w:r>
          </w:p>
        </w:tc>
        <w:tc>
          <w:tcPr>
            <w:tcW w:w="993" w:type="dxa"/>
            <w:vAlign w:val="center"/>
          </w:tcPr>
          <w:p w:rsidR="001A0240" w:rsidRPr="00852E29" w:rsidRDefault="001A0240" w:rsidP="00D920FE">
            <w:pPr>
              <w:jc w:val="center"/>
              <w:rPr>
                <w:b/>
                <w:sz w:val="20"/>
                <w:szCs w:val="20"/>
              </w:rPr>
            </w:pPr>
            <w:r w:rsidRPr="00852E29">
              <w:rPr>
                <w:b/>
                <w:sz w:val="20"/>
                <w:szCs w:val="20"/>
              </w:rPr>
              <w:t>Од. вим.</w:t>
            </w:r>
          </w:p>
        </w:tc>
        <w:tc>
          <w:tcPr>
            <w:tcW w:w="992" w:type="dxa"/>
            <w:vAlign w:val="center"/>
          </w:tcPr>
          <w:p w:rsidR="001A0240" w:rsidRPr="00852E29" w:rsidRDefault="001A0240" w:rsidP="00D920FE">
            <w:pPr>
              <w:jc w:val="center"/>
              <w:rPr>
                <w:b/>
                <w:sz w:val="20"/>
                <w:szCs w:val="20"/>
              </w:rPr>
            </w:pPr>
            <w:r w:rsidRPr="00852E29">
              <w:rPr>
                <w:b/>
                <w:sz w:val="20"/>
                <w:szCs w:val="20"/>
              </w:rPr>
              <w:t>Кіль-</w:t>
            </w:r>
          </w:p>
          <w:p w:rsidR="001A0240" w:rsidRPr="00852E29" w:rsidRDefault="001A0240" w:rsidP="00D920FE">
            <w:pPr>
              <w:jc w:val="center"/>
              <w:rPr>
                <w:b/>
                <w:sz w:val="20"/>
                <w:szCs w:val="20"/>
              </w:rPr>
            </w:pPr>
            <w:r w:rsidRPr="00852E29">
              <w:rPr>
                <w:b/>
                <w:sz w:val="20"/>
                <w:szCs w:val="20"/>
              </w:rPr>
              <w:t>кість</w:t>
            </w:r>
          </w:p>
        </w:tc>
        <w:tc>
          <w:tcPr>
            <w:tcW w:w="1134" w:type="dxa"/>
            <w:vAlign w:val="center"/>
          </w:tcPr>
          <w:p w:rsidR="001A0240" w:rsidRPr="00852E29" w:rsidRDefault="001A0240" w:rsidP="00D920FE">
            <w:pPr>
              <w:jc w:val="center"/>
              <w:rPr>
                <w:b/>
                <w:sz w:val="20"/>
                <w:szCs w:val="20"/>
              </w:rPr>
            </w:pPr>
            <w:r>
              <w:rPr>
                <w:b/>
                <w:sz w:val="20"/>
                <w:szCs w:val="20"/>
              </w:rPr>
              <w:t xml:space="preserve">Ціна, грн. </w:t>
            </w:r>
            <w:r w:rsidRPr="00852E29">
              <w:rPr>
                <w:b/>
                <w:sz w:val="20"/>
                <w:szCs w:val="20"/>
              </w:rPr>
              <w:t>без ПДВ</w:t>
            </w:r>
          </w:p>
        </w:tc>
        <w:tc>
          <w:tcPr>
            <w:tcW w:w="1701" w:type="dxa"/>
            <w:vAlign w:val="center"/>
          </w:tcPr>
          <w:p w:rsidR="001A0240" w:rsidRPr="00852E29" w:rsidRDefault="001A0240" w:rsidP="00D920FE">
            <w:pPr>
              <w:jc w:val="center"/>
              <w:rPr>
                <w:b/>
                <w:sz w:val="20"/>
                <w:szCs w:val="20"/>
              </w:rPr>
            </w:pPr>
            <w:r w:rsidRPr="00852E29">
              <w:rPr>
                <w:b/>
                <w:sz w:val="20"/>
                <w:szCs w:val="20"/>
              </w:rPr>
              <w:t>Сума, грн. без</w:t>
            </w:r>
          </w:p>
          <w:p w:rsidR="001A0240" w:rsidRPr="00852E29" w:rsidRDefault="001A0240" w:rsidP="00D920FE">
            <w:pPr>
              <w:jc w:val="center"/>
              <w:rPr>
                <w:b/>
                <w:sz w:val="20"/>
                <w:szCs w:val="20"/>
              </w:rPr>
            </w:pPr>
            <w:r w:rsidRPr="00852E29">
              <w:rPr>
                <w:b/>
                <w:sz w:val="20"/>
                <w:szCs w:val="20"/>
              </w:rPr>
              <w:t>ПДВ</w:t>
            </w:r>
          </w:p>
        </w:tc>
      </w:tr>
      <w:tr w:rsidR="001A0240" w:rsidRPr="00904825" w:rsidTr="00D920F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0240" w:rsidRPr="00904825" w:rsidRDefault="001A0240" w:rsidP="00D920FE">
            <w:pPr>
              <w:pStyle w:val="aff2"/>
              <w:jc w:val="center"/>
            </w:pPr>
            <w:r w:rsidRPr="00904825">
              <w:t>1</w:t>
            </w:r>
          </w:p>
        </w:tc>
        <w:tc>
          <w:tcPr>
            <w:tcW w:w="993" w:type="dxa"/>
            <w:tcBorders>
              <w:top w:val="nil"/>
              <w:left w:val="nil"/>
              <w:bottom w:val="single" w:sz="4" w:space="0" w:color="auto"/>
              <w:right w:val="single" w:sz="4" w:space="0" w:color="auto"/>
            </w:tcBorders>
            <w:shd w:val="clear" w:color="auto" w:fill="auto"/>
            <w:vAlign w:val="center"/>
          </w:tcPr>
          <w:p w:rsidR="001A0240" w:rsidRPr="00373E7B" w:rsidRDefault="001A0240" w:rsidP="00D920FE">
            <w:pPr>
              <w:pStyle w:val="aff2"/>
              <w:jc w:val="center"/>
              <w:rPr>
                <w:lang w:eastAsia="uk-UA"/>
              </w:rPr>
            </w:pPr>
            <w:r w:rsidRPr="00373E7B">
              <w:t>7.</w:t>
            </w:r>
            <w:r>
              <w:t>4.2</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tcPr>
          <w:p w:rsidR="001A0240" w:rsidRDefault="001A0240" w:rsidP="00D920FE">
            <w:pPr>
              <w:pStyle w:val="aff2"/>
              <w:rPr>
                <w:color w:val="000000"/>
                <w:lang w:eastAsia="uk-UA"/>
              </w:rPr>
            </w:pPr>
            <w:r w:rsidRPr="00A17003">
              <w:rPr>
                <w:color w:val="000000"/>
                <w:lang w:eastAsia="uk-UA"/>
              </w:rPr>
              <w:t xml:space="preserve">Вольтамперфазомір </w:t>
            </w:r>
          </w:p>
          <w:p w:rsidR="001A0240" w:rsidRPr="00E57118" w:rsidRDefault="001A0240" w:rsidP="00D920FE">
            <w:pPr>
              <w:pStyle w:val="aff2"/>
              <w:rPr>
                <w:i/>
                <w:sz w:val="16"/>
                <w:szCs w:val="16"/>
                <w:u w:val="single"/>
              </w:rPr>
            </w:pPr>
            <w:r w:rsidRPr="00E57118">
              <w:rPr>
                <w:i/>
                <w:color w:val="000000"/>
                <w:sz w:val="16"/>
                <w:szCs w:val="16"/>
                <w:u w:val="single"/>
                <w:lang w:eastAsia="uk-UA"/>
              </w:rPr>
              <w:t>вказати назву</w:t>
            </w:r>
          </w:p>
        </w:tc>
        <w:tc>
          <w:tcPr>
            <w:tcW w:w="993" w:type="dxa"/>
            <w:vAlign w:val="center"/>
          </w:tcPr>
          <w:p w:rsidR="001A0240" w:rsidRPr="00373E7B" w:rsidRDefault="001A0240" w:rsidP="00D920FE">
            <w:pPr>
              <w:jc w:val="center"/>
            </w:pPr>
            <w:r>
              <w:t>шт.</w:t>
            </w:r>
          </w:p>
        </w:tc>
        <w:tc>
          <w:tcPr>
            <w:tcW w:w="992" w:type="dxa"/>
            <w:vAlign w:val="center"/>
          </w:tcPr>
          <w:p w:rsidR="001A0240" w:rsidRPr="000464BF" w:rsidRDefault="001A0240" w:rsidP="00D920FE">
            <w:pPr>
              <w:jc w:val="center"/>
            </w:pPr>
            <w:r>
              <w:t>3</w:t>
            </w:r>
          </w:p>
        </w:tc>
        <w:tc>
          <w:tcPr>
            <w:tcW w:w="1134" w:type="dxa"/>
            <w:vAlign w:val="center"/>
          </w:tcPr>
          <w:p w:rsidR="001A0240" w:rsidRPr="00904825" w:rsidRDefault="001A0240" w:rsidP="00D920FE">
            <w:pPr>
              <w:jc w:val="right"/>
            </w:pPr>
          </w:p>
        </w:tc>
        <w:tc>
          <w:tcPr>
            <w:tcW w:w="1701" w:type="dxa"/>
            <w:vAlign w:val="center"/>
          </w:tcPr>
          <w:p w:rsidR="001A0240" w:rsidRPr="00904825" w:rsidRDefault="001A0240" w:rsidP="00D920FE">
            <w:pPr>
              <w:jc w:val="right"/>
            </w:pPr>
          </w:p>
        </w:tc>
      </w:tr>
    </w:tbl>
    <w:p w:rsidR="001A0240" w:rsidRDefault="001A0240" w:rsidP="001A0240">
      <w:pPr>
        <w:tabs>
          <w:tab w:val="left" w:pos="5760"/>
        </w:tabs>
        <w:ind w:left="284"/>
        <w:jc w:val="both"/>
        <w:rPr>
          <w:lang w:val="ru-RU"/>
        </w:rPr>
      </w:pPr>
    </w:p>
    <w:p w:rsidR="001A0240" w:rsidRPr="00E336F0" w:rsidRDefault="001A0240" w:rsidP="001A0240">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1A0240" w:rsidRPr="00E336F0" w:rsidRDefault="001A0240" w:rsidP="001A0240">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1A0240" w:rsidRPr="00E336F0" w:rsidRDefault="001A0240" w:rsidP="001A0240">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1A0240" w:rsidRPr="00E336F0" w:rsidRDefault="001A0240" w:rsidP="001A0240">
      <w:pPr>
        <w:numPr>
          <w:ilvl w:val="1"/>
          <w:numId w:val="9"/>
        </w:numPr>
        <w:tabs>
          <w:tab w:val="left" w:pos="5760"/>
        </w:tabs>
        <w:jc w:val="both"/>
        <w:rPr>
          <w:lang w:val="ru-RU"/>
        </w:rPr>
      </w:pPr>
      <w:r w:rsidRPr="00E336F0">
        <w:rPr>
          <w:lang w:val="ru-RU"/>
        </w:rPr>
        <w:t>Місце виконання договору- м.Івано-Франківськ.</w:t>
      </w:r>
    </w:p>
    <w:p w:rsidR="001A0240" w:rsidRPr="00E336F0" w:rsidRDefault="001A0240" w:rsidP="001A0240">
      <w:pPr>
        <w:tabs>
          <w:tab w:val="left" w:pos="5760"/>
        </w:tabs>
        <w:jc w:val="both"/>
        <w:rPr>
          <w:lang w:val="ru-RU"/>
        </w:rPr>
      </w:pPr>
    </w:p>
    <w:p w:rsidR="001A0240" w:rsidRPr="00E336F0" w:rsidRDefault="001A0240" w:rsidP="001A0240">
      <w:pPr>
        <w:numPr>
          <w:ilvl w:val="0"/>
          <w:numId w:val="9"/>
        </w:numPr>
        <w:jc w:val="center"/>
        <w:rPr>
          <w:b/>
          <w:lang w:val="ru-RU"/>
        </w:rPr>
      </w:pPr>
      <w:r w:rsidRPr="00E336F0">
        <w:rPr>
          <w:b/>
          <w:lang w:val="ru-RU"/>
        </w:rPr>
        <w:t>СУМА ДОГОВОРУ</w:t>
      </w:r>
    </w:p>
    <w:p w:rsidR="001A0240" w:rsidRPr="00E336F0" w:rsidRDefault="001A0240" w:rsidP="001A0240">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1A0240" w:rsidRPr="009761CD" w:rsidRDefault="001A0240" w:rsidP="001A0240">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1A0240" w:rsidRPr="00E336F0" w:rsidRDefault="001A0240" w:rsidP="001A0240">
      <w:pPr>
        <w:tabs>
          <w:tab w:val="left" w:pos="5760"/>
        </w:tabs>
        <w:jc w:val="both"/>
        <w:rPr>
          <w:lang w:val="ru-RU"/>
        </w:rPr>
      </w:pPr>
    </w:p>
    <w:p w:rsidR="001A0240" w:rsidRPr="00E336F0" w:rsidRDefault="001A0240" w:rsidP="001A0240">
      <w:pPr>
        <w:numPr>
          <w:ilvl w:val="0"/>
          <w:numId w:val="9"/>
        </w:numPr>
        <w:jc w:val="center"/>
        <w:rPr>
          <w:b/>
          <w:lang w:val="ru-RU"/>
        </w:rPr>
      </w:pPr>
      <w:r w:rsidRPr="00E336F0">
        <w:rPr>
          <w:b/>
          <w:lang w:val="ru-RU"/>
        </w:rPr>
        <w:t>ЦІНА ТОВАРУ</w:t>
      </w:r>
    </w:p>
    <w:p w:rsidR="001A0240" w:rsidRPr="00E336F0" w:rsidRDefault="001A0240" w:rsidP="001A0240">
      <w:pPr>
        <w:numPr>
          <w:ilvl w:val="1"/>
          <w:numId w:val="9"/>
        </w:numPr>
        <w:tabs>
          <w:tab w:val="left" w:pos="5760"/>
        </w:tabs>
        <w:jc w:val="both"/>
        <w:rPr>
          <w:lang w:val="ru-RU"/>
        </w:rPr>
      </w:pPr>
      <w:r w:rsidRPr="00E336F0">
        <w:rPr>
          <w:lang w:val="ru-RU"/>
        </w:rPr>
        <w:t>Постачальник відвантажує товар, що є предметом поставки за цим Договором, Покупцю за цінами, що визначені в п. 1.</w:t>
      </w:r>
      <w:r>
        <w:rPr>
          <w:lang w:val="ru-RU"/>
        </w:rPr>
        <w:t>1</w:t>
      </w:r>
      <w:r w:rsidRPr="00E336F0">
        <w:rPr>
          <w:lang w:val="ru-RU"/>
        </w:rPr>
        <w:t xml:space="preserve"> цього Договору, дійсними та незмінними протягом чинності цього Договору. </w:t>
      </w:r>
    </w:p>
    <w:p w:rsidR="001A0240" w:rsidRPr="00E336F0" w:rsidRDefault="001A0240" w:rsidP="001A0240">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1A0240" w:rsidRPr="00E336F0" w:rsidRDefault="001A0240" w:rsidP="001A0240">
      <w:pPr>
        <w:rPr>
          <w:b/>
          <w:lang w:val="ru-RU"/>
        </w:rPr>
      </w:pPr>
    </w:p>
    <w:p w:rsidR="001A0240" w:rsidRPr="00E336F0" w:rsidRDefault="001A0240" w:rsidP="001A0240">
      <w:pPr>
        <w:numPr>
          <w:ilvl w:val="0"/>
          <w:numId w:val="9"/>
        </w:numPr>
        <w:jc w:val="center"/>
        <w:rPr>
          <w:b/>
          <w:lang w:val="ru-RU"/>
        </w:rPr>
      </w:pPr>
      <w:r w:rsidRPr="00E336F0">
        <w:rPr>
          <w:b/>
          <w:lang w:val="ru-RU"/>
        </w:rPr>
        <w:lastRenderedPageBreak/>
        <w:t>УМОВИ РОЗРАХУНКУ</w:t>
      </w:r>
    </w:p>
    <w:p w:rsidR="001A0240" w:rsidRPr="00E336F0" w:rsidRDefault="001A0240" w:rsidP="001A0240">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1A0240" w:rsidRPr="00E336F0" w:rsidRDefault="001A0240" w:rsidP="001A0240">
      <w:pPr>
        <w:rPr>
          <w:bCs/>
          <w:lang w:val="ru-RU"/>
        </w:rPr>
      </w:pPr>
    </w:p>
    <w:p w:rsidR="001A0240" w:rsidRPr="00E336F0" w:rsidRDefault="001A0240" w:rsidP="001A0240">
      <w:pPr>
        <w:numPr>
          <w:ilvl w:val="0"/>
          <w:numId w:val="9"/>
        </w:numPr>
        <w:jc w:val="center"/>
        <w:rPr>
          <w:bCs/>
          <w:lang w:val="ru-RU"/>
        </w:rPr>
      </w:pPr>
      <w:r w:rsidRPr="00E336F0">
        <w:rPr>
          <w:b/>
        </w:rPr>
        <w:t>ПОСТАВКА ТОВАРУ</w:t>
      </w:r>
    </w:p>
    <w:p w:rsidR="001A0240" w:rsidRPr="00E336F0" w:rsidRDefault="001A0240" w:rsidP="001A0240">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1A0240" w:rsidRPr="00E336F0" w:rsidRDefault="001A0240" w:rsidP="001A0240">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1A0240" w:rsidRPr="00E336F0" w:rsidRDefault="001A0240" w:rsidP="001A0240">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1A0240" w:rsidRPr="00E336F0" w:rsidRDefault="001A0240" w:rsidP="001A0240">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1A0240" w:rsidRPr="00E336F0" w:rsidRDefault="001A0240" w:rsidP="001A0240">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r w:rsidRPr="00E6238F">
        <w:rPr>
          <w:rFonts w:cs="Calibri"/>
          <w:color w:val="000000"/>
        </w:rPr>
        <w:t xml:space="preserve"> </w:t>
      </w:r>
      <w:r w:rsidRPr="00E6238F">
        <w:rPr>
          <w:bCs/>
          <w:lang w:val="ru-RU"/>
        </w:rPr>
        <w:t>Поставка товару, що не відбулася через повітряну тривогу у строки визначені договором не вважається простроченням виконання зобов'язання із поставки товару, а санкції в цьому випадку до Постачальника за це не застосовуються.</w:t>
      </w:r>
    </w:p>
    <w:p w:rsidR="001A0240" w:rsidRPr="00E336F0" w:rsidRDefault="001A0240" w:rsidP="001A0240">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1A0240" w:rsidRPr="00935F6C" w:rsidRDefault="001A0240" w:rsidP="001A0240">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1A0240" w:rsidRPr="00935F6C" w:rsidRDefault="001A0240" w:rsidP="001A0240">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1A0240" w:rsidRPr="00E336F0" w:rsidRDefault="001A0240" w:rsidP="001A0240">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1A0240" w:rsidRPr="0099556F" w:rsidRDefault="001A0240" w:rsidP="001A0240">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1A0240" w:rsidRPr="0099556F" w:rsidRDefault="001A0240" w:rsidP="001A0240">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1A0240" w:rsidRDefault="001A0240" w:rsidP="001A0240">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1A0240" w:rsidRDefault="001A0240" w:rsidP="001A0240">
      <w:pPr>
        <w:numPr>
          <w:ilvl w:val="1"/>
          <w:numId w:val="9"/>
        </w:numPr>
        <w:tabs>
          <w:tab w:val="left" w:pos="5760"/>
        </w:tabs>
        <w:jc w:val="both"/>
        <w:rPr>
          <w:bCs/>
          <w:lang w:val="ru-RU"/>
        </w:rPr>
      </w:pPr>
      <w:r w:rsidRPr="0099556F">
        <w:rPr>
          <w:bCs/>
          <w:lang w:val="ru-RU"/>
        </w:rPr>
        <w:t xml:space="preserve">Постачальник зобов'язується в момент передачі Товару Покупцеві надати останньому наступні документи: </w:t>
      </w:r>
      <w:r>
        <w:rPr>
          <w:bCs/>
          <w:lang w:val="ru-RU"/>
        </w:rPr>
        <w:t xml:space="preserve">рахунок, </w:t>
      </w:r>
      <w:r w:rsidRPr="0099556F">
        <w:rPr>
          <w:bCs/>
          <w:lang w:val="ru-RU"/>
        </w:rPr>
        <w:t xml:space="preserve">видаткову накладну, товаро-транспортну накладну, належним чином завірену </w:t>
      </w:r>
      <w:r w:rsidRPr="00E6238F">
        <w:rPr>
          <w:bCs/>
          <w:lang w:val="ru-RU"/>
        </w:rPr>
        <w:t>копію сертифіката (паспорта) якості або інший документ виробника, що підтверджує якість Товару згідно вимог чинного законодавства України</w:t>
      </w:r>
      <w:r w:rsidRPr="0099556F">
        <w:rPr>
          <w:bCs/>
          <w:lang w:val="ru-RU"/>
        </w:rPr>
        <w:t>. Податкова накладна у встановленому законодавством порядку, буде надана у термін відповідно до вимог чинного законодавства.</w:t>
      </w:r>
    </w:p>
    <w:p w:rsidR="001A0240" w:rsidRPr="0099556F" w:rsidRDefault="001A0240" w:rsidP="001A0240">
      <w:pPr>
        <w:numPr>
          <w:ilvl w:val="1"/>
          <w:numId w:val="9"/>
        </w:numPr>
        <w:tabs>
          <w:tab w:val="left" w:pos="5760"/>
        </w:tabs>
        <w:jc w:val="both"/>
        <w:rPr>
          <w:bCs/>
          <w:lang w:val="ru-RU"/>
        </w:rPr>
      </w:pPr>
      <w:r w:rsidRPr="00E67A2A">
        <w:rPr>
          <w:bCs/>
          <w:lang w:val="ru-RU"/>
        </w:rPr>
        <w:t>В день поставки (відвантаження) Товару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1A0240" w:rsidRPr="000A5728" w:rsidRDefault="001A0240" w:rsidP="001A0240">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w:t>
      </w:r>
      <w:r w:rsidRPr="000A5728">
        <w:rPr>
          <w:bCs/>
          <w:lang w:val="ru-RU"/>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1A0240" w:rsidRPr="000A5728" w:rsidRDefault="001A0240" w:rsidP="001A0240">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1A0240" w:rsidRPr="000A5728" w:rsidRDefault="001A0240" w:rsidP="001A0240">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1A0240" w:rsidRPr="000A5728" w:rsidRDefault="001A0240" w:rsidP="001A0240">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1A0240" w:rsidRPr="000A5728" w:rsidRDefault="001A0240" w:rsidP="001A0240">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1A0240" w:rsidRPr="000A5728" w:rsidRDefault="001A0240" w:rsidP="001A0240">
      <w:pPr>
        <w:tabs>
          <w:tab w:val="left" w:pos="5760"/>
        </w:tabs>
        <w:ind w:left="660"/>
        <w:contextualSpacing/>
        <w:jc w:val="both"/>
        <w:rPr>
          <w:noProof/>
          <w:color w:val="000000" w:themeColor="text1"/>
        </w:rPr>
      </w:pPr>
    </w:p>
    <w:p w:rsidR="001A0240" w:rsidRPr="000A5728" w:rsidRDefault="001A0240" w:rsidP="001A0240">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1A0240" w:rsidRPr="000A5728" w:rsidRDefault="001A0240" w:rsidP="001A0240">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1A0240" w:rsidRPr="00E336F0" w:rsidRDefault="001A0240" w:rsidP="001A0240">
      <w:pPr>
        <w:tabs>
          <w:tab w:val="left" w:pos="5760"/>
        </w:tabs>
        <w:jc w:val="both"/>
        <w:rPr>
          <w:bCs/>
          <w:lang w:val="ru-RU"/>
        </w:rPr>
      </w:pPr>
    </w:p>
    <w:p w:rsidR="001A0240" w:rsidRPr="00E336F0" w:rsidRDefault="001A0240" w:rsidP="001A0240">
      <w:pPr>
        <w:numPr>
          <w:ilvl w:val="0"/>
          <w:numId w:val="9"/>
        </w:numPr>
        <w:jc w:val="center"/>
        <w:rPr>
          <w:b/>
          <w:lang w:val="ru-RU"/>
        </w:rPr>
      </w:pPr>
      <w:r w:rsidRPr="00E336F0">
        <w:rPr>
          <w:b/>
          <w:lang w:val="ru-RU"/>
        </w:rPr>
        <w:t>ЯКІСТЬ ТОВАРУ</w:t>
      </w:r>
    </w:p>
    <w:p w:rsidR="001A0240" w:rsidRPr="00E336F0" w:rsidRDefault="001A0240" w:rsidP="001A0240">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1A0240" w:rsidRPr="00E336F0" w:rsidRDefault="001A0240" w:rsidP="001A0240">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1A0240" w:rsidRPr="00E336F0" w:rsidRDefault="001A0240" w:rsidP="001A0240">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1A0240" w:rsidRPr="00E336F0" w:rsidRDefault="001A0240" w:rsidP="001A0240">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1A0240" w:rsidRPr="00E336F0" w:rsidRDefault="001A0240" w:rsidP="001A0240">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1A0240" w:rsidRPr="00E336F0" w:rsidRDefault="001A0240" w:rsidP="001A0240">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1A0240" w:rsidRPr="00E336F0" w:rsidRDefault="001A0240" w:rsidP="001A0240">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1A0240" w:rsidRPr="00E336F0" w:rsidRDefault="001A0240" w:rsidP="001A0240">
      <w:pPr>
        <w:suppressLineNumbers/>
        <w:jc w:val="both"/>
      </w:pPr>
    </w:p>
    <w:p w:rsidR="001A0240" w:rsidRPr="00E336F0" w:rsidRDefault="001A0240" w:rsidP="001A0240">
      <w:pPr>
        <w:numPr>
          <w:ilvl w:val="0"/>
          <w:numId w:val="9"/>
        </w:numPr>
        <w:jc w:val="center"/>
        <w:rPr>
          <w:b/>
        </w:rPr>
      </w:pPr>
      <w:r w:rsidRPr="00E336F0">
        <w:rPr>
          <w:b/>
        </w:rPr>
        <w:t>ПРАВА ТА ОБОВ'ЯЗКИ СТОРІН</w:t>
      </w:r>
    </w:p>
    <w:p w:rsidR="001A0240" w:rsidRPr="00E336F0" w:rsidRDefault="001A0240" w:rsidP="001A0240">
      <w:pPr>
        <w:numPr>
          <w:ilvl w:val="1"/>
          <w:numId w:val="9"/>
        </w:numPr>
        <w:tabs>
          <w:tab w:val="left" w:pos="284"/>
          <w:tab w:val="left" w:pos="5760"/>
        </w:tabs>
        <w:jc w:val="both"/>
        <w:rPr>
          <w:bCs/>
          <w:lang w:val="ru-RU"/>
        </w:rPr>
      </w:pPr>
      <w:r w:rsidRPr="00E336F0">
        <w:rPr>
          <w:bCs/>
          <w:lang w:val="ru-RU"/>
        </w:rPr>
        <w:t xml:space="preserve">Покупець зобов'язаний: </w:t>
      </w:r>
    </w:p>
    <w:p w:rsidR="001A0240" w:rsidRPr="00E336F0" w:rsidRDefault="001A0240" w:rsidP="001A0240">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1A0240" w:rsidRPr="00E336F0" w:rsidRDefault="001A0240" w:rsidP="001A0240">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1A0240" w:rsidRPr="00E336F0" w:rsidRDefault="001A0240" w:rsidP="001A0240">
      <w:pPr>
        <w:numPr>
          <w:ilvl w:val="1"/>
          <w:numId w:val="9"/>
        </w:numPr>
        <w:tabs>
          <w:tab w:val="left" w:pos="284"/>
          <w:tab w:val="left" w:pos="5760"/>
        </w:tabs>
        <w:jc w:val="both"/>
        <w:rPr>
          <w:bCs/>
          <w:lang w:val="ru-RU"/>
        </w:rPr>
      </w:pPr>
      <w:r w:rsidRPr="00E336F0">
        <w:rPr>
          <w:bCs/>
          <w:lang w:val="ru-RU"/>
        </w:rPr>
        <w:t xml:space="preserve"> Покупець має право:</w:t>
      </w:r>
    </w:p>
    <w:p w:rsidR="001A0240" w:rsidRPr="00E336F0" w:rsidRDefault="001A0240" w:rsidP="001A0240">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1A0240" w:rsidRPr="00E336F0" w:rsidRDefault="001A0240" w:rsidP="001A0240">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1A0240" w:rsidRPr="00E336F0" w:rsidRDefault="001A0240" w:rsidP="001A0240">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1A0240" w:rsidRDefault="001A0240" w:rsidP="001A0240">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1A0240" w:rsidRPr="00F317B0" w:rsidRDefault="001A0240" w:rsidP="001A0240">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1A0240" w:rsidRPr="00E336F0" w:rsidRDefault="001A0240" w:rsidP="001A0240">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1A0240" w:rsidRPr="00E336F0" w:rsidRDefault="001A0240" w:rsidP="001A0240">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1A0240" w:rsidRPr="00E336F0" w:rsidRDefault="001A0240" w:rsidP="001A0240">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1A0240" w:rsidRPr="00E336F0" w:rsidRDefault="001A0240" w:rsidP="001A0240">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1A0240" w:rsidRPr="00E336F0" w:rsidRDefault="001A0240" w:rsidP="001A0240">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1A0240" w:rsidRPr="00E336F0" w:rsidRDefault="001A0240" w:rsidP="001A0240">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1A0240" w:rsidRPr="00E336F0" w:rsidRDefault="001A0240" w:rsidP="001A0240">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1A0240" w:rsidRPr="00E336F0" w:rsidRDefault="001A0240" w:rsidP="001A0240">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1A0240" w:rsidRPr="00E336F0" w:rsidRDefault="001A0240" w:rsidP="001A0240">
      <w:pPr>
        <w:tabs>
          <w:tab w:val="left" w:pos="0"/>
          <w:tab w:val="left" w:pos="5760"/>
        </w:tabs>
        <w:jc w:val="both"/>
        <w:rPr>
          <w:b/>
          <w:color w:val="C0C0C0"/>
          <w:lang w:val="ru-RU"/>
        </w:rPr>
      </w:pPr>
      <w:r w:rsidRPr="00E336F0">
        <w:rPr>
          <w:b/>
          <w:color w:val="C0C0C0"/>
          <w:lang w:val="ru-RU"/>
        </w:rPr>
        <w:t xml:space="preserve">                                              </w:t>
      </w:r>
    </w:p>
    <w:p w:rsidR="001A0240" w:rsidRPr="00E336F0" w:rsidRDefault="001A0240" w:rsidP="001A0240">
      <w:pPr>
        <w:numPr>
          <w:ilvl w:val="0"/>
          <w:numId w:val="9"/>
        </w:numPr>
        <w:jc w:val="center"/>
        <w:rPr>
          <w:b/>
        </w:rPr>
      </w:pPr>
      <w:r w:rsidRPr="00E336F0">
        <w:rPr>
          <w:b/>
        </w:rPr>
        <w:t>ВІДПОВІДАЛЬНІСТЬ СТОРІН</w:t>
      </w:r>
    </w:p>
    <w:p w:rsidR="001A0240" w:rsidRPr="00E336F0" w:rsidRDefault="001A0240" w:rsidP="001A0240">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1A0240" w:rsidRPr="00E336F0" w:rsidRDefault="001A0240" w:rsidP="001A0240">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1A0240" w:rsidRPr="00E336F0" w:rsidRDefault="001A0240" w:rsidP="001A0240">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1A0240" w:rsidRPr="00E336F0" w:rsidRDefault="001A0240" w:rsidP="001A0240">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1A0240" w:rsidRPr="00E336F0" w:rsidRDefault="001A0240" w:rsidP="001A0240">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1A0240" w:rsidRPr="00E336F0" w:rsidRDefault="001A0240" w:rsidP="001A0240">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1A0240" w:rsidRPr="00E336F0" w:rsidRDefault="001A0240" w:rsidP="001A0240">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1A0240" w:rsidRPr="00E336F0" w:rsidRDefault="001A0240" w:rsidP="001A0240">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1A0240" w:rsidRPr="00E336F0" w:rsidRDefault="001A0240" w:rsidP="001A0240">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1A0240" w:rsidRPr="00E336F0" w:rsidRDefault="001A0240" w:rsidP="001A0240">
      <w:pPr>
        <w:numPr>
          <w:ilvl w:val="1"/>
          <w:numId w:val="9"/>
        </w:numPr>
        <w:tabs>
          <w:tab w:val="left" w:pos="5760"/>
        </w:tabs>
        <w:jc w:val="both"/>
        <w:rPr>
          <w:bCs/>
          <w:lang w:val="ru-RU"/>
        </w:rPr>
      </w:pPr>
      <w:r w:rsidRPr="00E336F0">
        <w:rPr>
          <w:bCs/>
          <w:lang w:val="ru-RU"/>
        </w:rPr>
        <w:lastRenderedPageBreak/>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1A0240" w:rsidRPr="00E336F0" w:rsidRDefault="001A0240" w:rsidP="001A0240">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1A0240" w:rsidRPr="00E336F0" w:rsidRDefault="001A0240" w:rsidP="001A0240">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1A0240" w:rsidRPr="00E336F0" w:rsidRDefault="001A0240" w:rsidP="001A0240">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1A0240" w:rsidRPr="00E336F0" w:rsidRDefault="001A0240" w:rsidP="001A0240">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1A0240" w:rsidRPr="00E336F0" w:rsidRDefault="001A0240" w:rsidP="001A0240">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1A0240" w:rsidRPr="00E336F0" w:rsidRDefault="001A0240" w:rsidP="001A0240">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1A0240" w:rsidRPr="00E336F0" w:rsidRDefault="001A0240" w:rsidP="001A0240">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1A0240" w:rsidRPr="00E336F0" w:rsidRDefault="001A0240" w:rsidP="001A0240">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1A0240" w:rsidRPr="00E336F0" w:rsidRDefault="001A0240" w:rsidP="001A0240">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1A0240" w:rsidRPr="00E336F0" w:rsidRDefault="001A0240" w:rsidP="001A0240">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1A0240" w:rsidRPr="00E336F0" w:rsidRDefault="001A0240" w:rsidP="001A0240">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1A0240" w:rsidRPr="00E336F0" w:rsidRDefault="001A0240" w:rsidP="001A0240">
      <w:pPr>
        <w:tabs>
          <w:tab w:val="left" w:pos="5760"/>
        </w:tabs>
        <w:jc w:val="both"/>
        <w:rPr>
          <w:bCs/>
          <w:lang w:val="ru-RU"/>
        </w:rPr>
      </w:pPr>
    </w:p>
    <w:p w:rsidR="001A0240" w:rsidRPr="00E336F0" w:rsidRDefault="001A0240" w:rsidP="001A0240">
      <w:pPr>
        <w:numPr>
          <w:ilvl w:val="0"/>
          <w:numId w:val="9"/>
        </w:numPr>
        <w:jc w:val="center"/>
        <w:rPr>
          <w:b/>
        </w:rPr>
      </w:pPr>
      <w:r w:rsidRPr="00E336F0">
        <w:rPr>
          <w:b/>
        </w:rPr>
        <w:t>ОБСТАВИНИ НЕПЕРЕБОРНОЇ СИЛИ</w:t>
      </w:r>
    </w:p>
    <w:p w:rsidR="001A0240" w:rsidRPr="00E336F0" w:rsidRDefault="001A0240" w:rsidP="001A0240">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A0240" w:rsidRPr="00E336F0" w:rsidRDefault="001A0240" w:rsidP="001A0240">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1A0240" w:rsidRPr="00E336F0" w:rsidRDefault="001A0240" w:rsidP="001A0240">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1A0240" w:rsidRPr="00E336F0" w:rsidRDefault="001A0240" w:rsidP="001A0240">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1A0240" w:rsidRPr="00E336F0" w:rsidRDefault="001A0240" w:rsidP="001A0240">
      <w:pPr>
        <w:tabs>
          <w:tab w:val="left" w:pos="5760"/>
        </w:tabs>
        <w:jc w:val="both"/>
        <w:rPr>
          <w:bCs/>
          <w:lang w:val="ru-RU"/>
        </w:rPr>
      </w:pPr>
    </w:p>
    <w:p w:rsidR="001A0240" w:rsidRPr="00E336F0" w:rsidRDefault="001A0240" w:rsidP="001A0240">
      <w:pPr>
        <w:numPr>
          <w:ilvl w:val="0"/>
          <w:numId w:val="9"/>
        </w:numPr>
        <w:jc w:val="center"/>
        <w:rPr>
          <w:b/>
        </w:rPr>
      </w:pPr>
      <w:r w:rsidRPr="00E336F0">
        <w:rPr>
          <w:b/>
        </w:rPr>
        <w:t>ПОРЯДОК ВНЕСЕННЯ ЗМІН ДО ДОГОВОРУ</w:t>
      </w:r>
    </w:p>
    <w:p w:rsidR="001A0240" w:rsidRPr="00E336F0" w:rsidRDefault="001A0240" w:rsidP="001A0240">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1A0240" w:rsidRPr="00E336F0" w:rsidRDefault="001A0240" w:rsidP="001A0240">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w:t>
      </w:r>
      <w:r w:rsidRPr="00E336F0">
        <w:rPr>
          <w:bCs/>
          <w:lang w:val="ru-RU"/>
        </w:rPr>
        <w:lastRenderedPageBreak/>
        <w:t>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1A0240" w:rsidRPr="00E336F0" w:rsidRDefault="001A0240" w:rsidP="001A0240">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1A0240" w:rsidRPr="00E336F0" w:rsidRDefault="001A0240" w:rsidP="001A0240">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1A0240" w:rsidRPr="00E336F0" w:rsidRDefault="001A0240" w:rsidP="001A0240">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1A0240" w:rsidRPr="00E336F0" w:rsidRDefault="001A0240" w:rsidP="001A0240">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1A0240" w:rsidRPr="00E336F0" w:rsidRDefault="001A0240" w:rsidP="001A0240">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1A0240" w:rsidRPr="00E336F0" w:rsidRDefault="001A0240" w:rsidP="001A0240">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1A0240" w:rsidRPr="00E336F0" w:rsidRDefault="001A0240" w:rsidP="001A0240">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1A0240" w:rsidRPr="00E336F0" w:rsidRDefault="001A0240" w:rsidP="001A0240">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A0240" w:rsidRPr="00E336F0" w:rsidRDefault="001A0240" w:rsidP="001A0240">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1A0240" w:rsidRPr="00E336F0" w:rsidRDefault="001A0240" w:rsidP="001A0240">
      <w:pPr>
        <w:jc w:val="both"/>
        <w:rPr>
          <w:bCs/>
          <w:lang w:val="ru-RU"/>
        </w:rPr>
      </w:pPr>
      <w:r w:rsidRPr="00E336F0">
        <w:rPr>
          <w:bCs/>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336F0">
        <w:rPr>
          <w:bCs/>
          <w:lang w:val="ru-RU"/>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240" w:rsidRPr="00E336F0" w:rsidRDefault="001A0240" w:rsidP="001A0240">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1A0240" w:rsidRPr="00E336F0" w:rsidRDefault="001A0240" w:rsidP="001A0240">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1A0240" w:rsidRPr="00E336F0" w:rsidRDefault="001A0240" w:rsidP="001A0240">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0240" w:rsidRPr="00E336F0" w:rsidRDefault="001A0240" w:rsidP="001A0240">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0240" w:rsidRPr="00E336F0" w:rsidRDefault="001A0240" w:rsidP="001A0240">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1A0240" w:rsidRPr="00E336F0" w:rsidRDefault="001A0240" w:rsidP="001A0240">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1A0240" w:rsidRPr="00E336F0" w:rsidRDefault="001A0240" w:rsidP="001A0240">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1A0240" w:rsidRPr="00E336F0" w:rsidRDefault="001A0240" w:rsidP="001A0240">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1A0240" w:rsidRPr="00E336F0" w:rsidRDefault="001A0240" w:rsidP="001A0240">
      <w:pPr>
        <w:tabs>
          <w:tab w:val="left" w:pos="5760"/>
        </w:tabs>
        <w:jc w:val="both"/>
        <w:rPr>
          <w:bCs/>
          <w:lang w:val="ru-RU"/>
        </w:rPr>
      </w:pPr>
    </w:p>
    <w:p w:rsidR="001A0240" w:rsidRPr="00E336F0" w:rsidRDefault="001A0240" w:rsidP="001A0240">
      <w:pPr>
        <w:numPr>
          <w:ilvl w:val="0"/>
          <w:numId w:val="9"/>
        </w:numPr>
        <w:jc w:val="center"/>
        <w:rPr>
          <w:b/>
        </w:rPr>
      </w:pPr>
      <w:r w:rsidRPr="00E336F0">
        <w:rPr>
          <w:b/>
        </w:rPr>
        <w:t>ВИРІШЕННЯ СПОРІВ</w:t>
      </w:r>
    </w:p>
    <w:p w:rsidR="001A0240" w:rsidRPr="00E336F0" w:rsidRDefault="001A0240" w:rsidP="001A0240">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1A0240" w:rsidRPr="00E336F0" w:rsidRDefault="001A0240" w:rsidP="001A0240">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1A0240" w:rsidRPr="00E336F0" w:rsidRDefault="001A0240" w:rsidP="001A0240">
      <w:pPr>
        <w:tabs>
          <w:tab w:val="left" w:pos="5760"/>
        </w:tabs>
        <w:jc w:val="both"/>
        <w:rPr>
          <w:b/>
        </w:rPr>
      </w:pPr>
    </w:p>
    <w:p w:rsidR="001A0240" w:rsidRPr="00E336F0" w:rsidRDefault="001A0240" w:rsidP="001A0240">
      <w:pPr>
        <w:numPr>
          <w:ilvl w:val="0"/>
          <w:numId w:val="9"/>
        </w:numPr>
        <w:jc w:val="center"/>
        <w:rPr>
          <w:b/>
        </w:rPr>
      </w:pPr>
      <w:r w:rsidRPr="00E336F0">
        <w:rPr>
          <w:b/>
        </w:rPr>
        <w:t>СТРОК ДІЇ ДОГОВОРУ</w:t>
      </w:r>
    </w:p>
    <w:p w:rsidR="001A0240" w:rsidRDefault="001A0240" w:rsidP="001A0240">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1A0240" w:rsidRPr="00E336F0" w:rsidRDefault="001A0240" w:rsidP="001A0240">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1A0240" w:rsidRPr="00E336F0" w:rsidRDefault="001A0240" w:rsidP="001A0240">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1A0240" w:rsidRPr="00E336F0" w:rsidRDefault="001A0240" w:rsidP="001A0240">
      <w:pPr>
        <w:tabs>
          <w:tab w:val="left" w:pos="5760"/>
        </w:tabs>
        <w:jc w:val="both"/>
        <w:rPr>
          <w:bCs/>
          <w:lang w:val="ru-RU"/>
        </w:rPr>
      </w:pPr>
    </w:p>
    <w:p w:rsidR="001A0240" w:rsidRPr="00E336F0" w:rsidRDefault="001A0240" w:rsidP="001A0240">
      <w:pPr>
        <w:numPr>
          <w:ilvl w:val="0"/>
          <w:numId w:val="9"/>
        </w:numPr>
        <w:jc w:val="center"/>
        <w:rPr>
          <w:b/>
        </w:rPr>
      </w:pPr>
      <w:r w:rsidRPr="00E336F0">
        <w:rPr>
          <w:b/>
        </w:rPr>
        <w:t>ІНШІ УМОВИ</w:t>
      </w:r>
    </w:p>
    <w:p w:rsidR="001A0240" w:rsidRPr="00E336F0" w:rsidRDefault="001A0240" w:rsidP="001A0240">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1A0240" w:rsidRPr="00E336F0" w:rsidRDefault="001A0240" w:rsidP="001A0240">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1A0240" w:rsidRPr="00E336F0" w:rsidRDefault="001A0240" w:rsidP="001A0240">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1A0240" w:rsidRPr="00E336F0" w:rsidRDefault="001A0240" w:rsidP="001A0240">
      <w:pPr>
        <w:tabs>
          <w:tab w:val="left" w:pos="5760"/>
        </w:tabs>
        <w:jc w:val="both"/>
        <w:rPr>
          <w:bCs/>
          <w:lang w:val="ru-RU"/>
        </w:rPr>
      </w:pPr>
    </w:p>
    <w:p w:rsidR="001A0240" w:rsidRPr="00E336F0" w:rsidRDefault="001A0240" w:rsidP="001A0240">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1A0240" w:rsidRPr="00E336F0" w:rsidTr="00D920FE">
        <w:trPr>
          <w:trHeight w:val="4407"/>
        </w:trPr>
        <w:tc>
          <w:tcPr>
            <w:tcW w:w="5495" w:type="dxa"/>
          </w:tcPr>
          <w:p w:rsidR="001A0240" w:rsidRPr="00E336F0" w:rsidRDefault="001A0240" w:rsidP="00D920FE">
            <w:pPr>
              <w:rPr>
                <w:b/>
                <w:lang w:val="ru-RU"/>
              </w:rPr>
            </w:pPr>
            <w:r w:rsidRPr="00E336F0">
              <w:rPr>
                <w:b/>
                <w:lang w:val="ru-RU"/>
              </w:rPr>
              <w:lastRenderedPageBreak/>
              <w:t>Постачальник:</w:t>
            </w:r>
          </w:p>
          <w:p w:rsidR="001A0240" w:rsidRPr="00E336F0" w:rsidRDefault="001A0240" w:rsidP="00D920FE">
            <w:pPr>
              <w:rPr>
                <w:b/>
                <w:lang w:val="ru-RU"/>
              </w:rPr>
            </w:pPr>
            <w:r w:rsidRPr="00E336F0">
              <w:rPr>
                <w:b/>
                <w:lang w:val="ru-RU"/>
              </w:rPr>
              <w:t>____________________________</w:t>
            </w:r>
          </w:p>
          <w:p w:rsidR="001A0240" w:rsidRPr="00E336F0" w:rsidRDefault="001A0240" w:rsidP="00D920FE">
            <w:pPr>
              <w:rPr>
                <w:b/>
                <w:lang w:val="ru-RU"/>
              </w:rPr>
            </w:pPr>
            <w:r w:rsidRPr="00E336F0">
              <w:rPr>
                <w:b/>
                <w:lang w:val="ru-RU"/>
              </w:rPr>
              <w:t>____________________________</w:t>
            </w:r>
          </w:p>
          <w:p w:rsidR="001A0240" w:rsidRPr="00E336F0" w:rsidRDefault="001A0240" w:rsidP="00D920FE">
            <w:pPr>
              <w:rPr>
                <w:lang w:val="ru-RU"/>
              </w:rPr>
            </w:pPr>
            <w:r w:rsidRPr="00E336F0">
              <w:rPr>
                <w:b/>
                <w:lang w:val="ru-RU"/>
              </w:rPr>
              <w:t>____________________________</w:t>
            </w:r>
          </w:p>
          <w:p w:rsidR="001A0240" w:rsidRPr="00E336F0" w:rsidRDefault="001A0240" w:rsidP="00D920FE">
            <w:pPr>
              <w:rPr>
                <w:lang w:val="ru-RU"/>
              </w:rPr>
            </w:pPr>
            <w:r w:rsidRPr="00E336F0">
              <w:rPr>
                <w:b/>
                <w:lang w:val="ru-RU"/>
              </w:rPr>
              <w:t>____________________________</w:t>
            </w:r>
          </w:p>
          <w:p w:rsidR="001A0240" w:rsidRPr="00E336F0" w:rsidRDefault="001A0240" w:rsidP="00D920FE">
            <w:pPr>
              <w:rPr>
                <w:lang w:val="ru-RU"/>
              </w:rPr>
            </w:pPr>
            <w:r w:rsidRPr="00E336F0">
              <w:rPr>
                <w:b/>
                <w:lang w:val="ru-RU"/>
              </w:rPr>
              <w:t>____________________________</w:t>
            </w:r>
          </w:p>
          <w:p w:rsidR="001A0240" w:rsidRPr="00E336F0" w:rsidRDefault="001A0240" w:rsidP="00D920FE">
            <w:pPr>
              <w:rPr>
                <w:lang w:val="ru-RU"/>
              </w:rPr>
            </w:pPr>
            <w:r w:rsidRPr="00E336F0">
              <w:rPr>
                <w:b/>
                <w:lang w:val="ru-RU"/>
              </w:rPr>
              <w:t>____________________________</w:t>
            </w:r>
          </w:p>
          <w:p w:rsidR="001A0240" w:rsidRPr="00E336F0" w:rsidRDefault="001A0240" w:rsidP="00D920FE">
            <w:pPr>
              <w:rPr>
                <w:lang w:val="ru-RU"/>
              </w:rPr>
            </w:pPr>
            <w:r w:rsidRPr="00E336F0">
              <w:rPr>
                <w:b/>
                <w:lang w:val="ru-RU"/>
              </w:rPr>
              <w:t>____________________________</w:t>
            </w:r>
          </w:p>
          <w:p w:rsidR="001A0240" w:rsidRPr="00E336F0" w:rsidRDefault="001A0240" w:rsidP="00D920FE">
            <w:pPr>
              <w:rPr>
                <w:lang w:val="ru-RU"/>
              </w:rPr>
            </w:pPr>
            <w:r w:rsidRPr="00E336F0">
              <w:rPr>
                <w:b/>
                <w:lang w:val="ru-RU"/>
              </w:rPr>
              <w:t>____________________________</w:t>
            </w:r>
          </w:p>
          <w:p w:rsidR="001A0240" w:rsidRPr="00E336F0" w:rsidRDefault="001A0240" w:rsidP="00D920FE">
            <w:pPr>
              <w:rPr>
                <w:lang w:val="ru-RU"/>
              </w:rPr>
            </w:pPr>
            <w:r w:rsidRPr="00E336F0">
              <w:rPr>
                <w:b/>
                <w:lang w:val="ru-RU"/>
              </w:rPr>
              <w:t>____________________________</w:t>
            </w:r>
          </w:p>
          <w:p w:rsidR="001A0240" w:rsidRPr="00E336F0" w:rsidRDefault="001A0240" w:rsidP="00D920FE">
            <w:pPr>
              <w:rPr>
                <w:lang w:val="ru-RU"/>
              </w:rPr>
            </w:pPr>
          </w:p>
          <w:p w:rsidR="001A0240" w:rsidRPr="00E336F0" w:rsidRDefault="001A0240" w:rsidP="00D920FE">
            <w:pPr>
              <w:rPr>
                <w:b/>
                <w:lang w:val="ru-RU"/>
              </w:rPr>
            </w:pPr>
            <w:r w:rsidRPr="00E336F0">
              <w:rPr>
                <w:b/>
                <w:lang w:val="ru-RU"/>
              </w:rPr>
              <w:t>Директор</w:t>
            </w:r>
          </w:p>
          <w:p w:rsidR="001A0240" w:rsidRPr="00E336F0" w:rsidRDefault="001A0240" w:rsidP="00D920FE">
            <w:pPr>
              <w:rPr>
                <w:lang w:val="ru-RU"/>
              </w:rPr>
            </w:pPr>
          </w:p>
          <w:p w:rsidR="001A0240" w:rsidRPr="00E336F0" w:rsidRDefault="001A0240" w:rsidP="00D920FE">
            <w:pPr>
              <w:rPr>
                <w:lang w:val="ru-RU"/>
              </w:rPr>
            </w:pPr>
          </w:p>
          <w:p w:rsidR="001A0240" w:rsidRPr="00E336F0" w:rsidRDefault="001A0240" w:rsidP="00D920FE">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1A0240" w:rsidRPr="00E336F0" w:rsidRDefault="001A0240" w:rsidP="00D920FE">
            <w:pPr>
              <w:rPr>
                <w:b/>
              </w:rPr>
            </w:pPr>
            <w:r w:rsidRPr="00E336F0">
              <w:rPr>
                <w:b/>
                <w:lang w:val="ru-RU"/>
              </w:rPr>
              <w:t>М.П.</w:t>
            </w:r>
          </w:p>
        </w:tc>
        <w:tc>
          <w:tcPr>
            <w:tcW w:w="4693" w:type="dxa"/>
          </w:tcPr>
          <w:p w:rsidR="001A0240" w:rsidRPr="00E336F0" w:rsidRDefault="001A0240" w:rsidP="00D920FE">
            <w:pPr>
              <w:rPr>
                <w:b/>
                <w:lang w:val="ru-RU"/>
              </w:rPr>
            </w:pPr>
            <w:r w:rsidRPr="00E336F0">
              <w:rPr>
                <w:b/>
                <w:lang w:val="ru-RU"/>
              </w:rPr>
              <w:t>Покупець:</w:t>
            </w:r>
          </w:p>
          <w:p w:rsidR="001A0240" w:rsidRPr="00E336F0" w:rsidRDefault="001A0240" w:rsidP="00D920FE">
            <w:pPr>
              <w:rPr>
                <w:b/>
                <w:bCs/>
                <w:lang w:val="ru-RU"/>
              </w:rPr>
            </w:pPr>
            <w:r w:rsidRPr="00E336F0">
              <w:rPr>
                <w:b/>
                <w:bCs/>
                <w:lang w:val="ru-RU"/>
              </w:rPr>
              <w:t>АТ «Прикарпаттяобленерго»</w:t>
            </w:r>
          </w:p>
          <w:p w:rsidR="001A0240" w:rsidRPr="00E336F0" w:rsidRDefault="001A0240" w:rsidP="00D920FE">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1A0240" w:rsidRPr="00E336F0" w:rsidRDefault="001A0240" w:rsidP="00D920FE">
            <w:pPr>
              <w:rPr>
                <w:lang w:val="ru-RU"/>
              </w:rPr>
            </w:pPr>
            <w:r w:rsidRPr="00E336F0">
              <w:rPr>
                <w:lang w:val="ru-RU"/>
              </w:rPr>
              <w:t>вул. Індустріальна, 34</w:t>
            </w:r>
          </w:p>
          <w:p w:rsidR="001A0240" w:rsidRPr="00E336F0" w:rsidRDefault="001A0240" w:rsidP="00D920FE">
            <w:pPr>
              <w:rPr>
                <w:lang w:val="ru-RU"/>
              </w:rPr>
            </w:pPr>
            <w:r w:rsidRPr="00E336F0">
              <w:rPr>
                <w:lang w:val="ru-RU"/>
              </w:rPr>
              <w:t>IBAN UA023365030000026001300018152</w:t>
            </w:r>
          </w:p>
          <w:p w:rsidR="001A0240" w:rsidRPr="00E336F0" w:rsidRDefault="001A0240" w:rsidP="00D920FE">
            <w:pPr>
              <w:rPr>
                <w:lang w:val="ru-RU"/>
              </w:rPr>
            </w:pPr>
            <w:r w:rsidRPr="00E336F0">
              <w:rPr>
                <w:lang w:val="ru-RU"/>
              </w:rPr>
              <w:t xml:space="preserve">в ТВБВ 10008/0143 м.Івано-Франківська </w:t>
            </w:r>
          </w:p>
          <w:p w:rsidR="001A0240" w:rsidRPr="00E336F0" w:rsidRDefault="001A0240" w:rsidP="00D920FE">
            <w:pPr>
              <w:rPr>
                <w:lang w:val="ru-RU"/>
              </w:rPr>
            </w:pPr>
            <w:r w:rsidRPr="00E336F0">
              <w:rPr>
                <w:lang w:val="ru-RU"/>
              </w:rPr>
              <w:t xml:space="preserve">Філії Івано-Франківське </w:t>
            </w:r>
          </w:p>
          <w:p w:rsidR="001A0240" w:rsidRPr="00E336F0" w:rsidRDefault="001A0240" w:rsidP="00D920FE">
            <w:pPr>
              <w:rPr>
                <w:lang w:val="ru-RU"/>
              </w:rPr>
            </w:pPr>
            <w:r w:rsidRPr="00E336F0">
              <w:rPr>
                <w:lang w:val="ru-RU"/>
              </w:rPr>
              <w:t>обласне управління АТ "Ощадбанк"</w:t>
            </w:r>
          </w:p>
          <w:p w:rsidR="001A0240" w:rsidRPr="00E336F0" w:rsidRDefault="001A0240" w:rsidP="00D920FE">
            <w:pPr>
              <w:rPr>
                <w:lang w:val="ru-RU"/>
              </w:rPr>
            </w:pPr>
            <w:r w:rsidRPr="00E336F0">
              <w:rPr>
                <w:lang w:val="ru-RU"/>
              </w:rPr>
              <w:t>ЄДРПОУ 00131564</w:t>
            </w:r>
          </w:p>
          <w:p w:rsidR="001A0240" w:rsidRPr="00E336F0" w:rsidRDefault="001A0240" w:rsidP="00D920FE">
            <w:pPr>
              <w:rPr>
                <w:lang w:val="ru-RU"/>
              </w:rPr>
            </w:pPr>
            <w:r w:rsidRPr="00E336F0">
              <w:rPr>
                <w:lang w:val="ru-RU"/>
              </w:rPr>
              <w:t>ІПН 001315609158</w:t>
            </w:r>
          </w:p>
          <w:p w:rsidR="001A0240" w:rsidRPr="00E336F0" w:rsidRDefault="001A0240" w:rsidP="00D920FE">
            <w:pPr>
              <w:rPr>
                <w:lang w:val="ru-RU"/>
              </w:rPr>
            </w:pPr>
          </w:p>
          <w:p w:rsidR="001A0240" w:rsidRPr="00E336F0" w:rsidRDefault="001A0240" w:rsidP="00D920FE">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1A0240" w:rsidRPr="00E336F0" w:rsidRDefault="001A0240" w:rsidP="00D920FE">
            <w:pPr>
              <w:rPr>
                <w:b/>
                <w:lang w:val="ru-RU"/>
              </w:rPr>
            </w:pPr>
          </w:p>
          <w:p w:rsidR="001A0240" w:rsidRPr="00E336F0" w:rsidRDefault="001A0240" w:rsidP="00D920FE">
            <w:pPr>
              <w:rPr>
                <w:b/>
                <w:lang w:val="ru-RU"/>
              </w:rPr>
            </w:pPr>
          </w:p>
          <w:p w:rsidR="001A0240" w:rsidRPr="00E336F0" w:rsidRDefault="001A0240" w:rsidP="00D920FE">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1A0240" w:rsidRPr="00E336F0" w:rsidRDefault="001A0240" w:rsidP="00D920FE">
            <w:pPr>
              <w:rPr>
                <w:b/>
                <w:lang w:val="en-US"/>
              </w:rPr>
            </w:pPr>
            <w:r w:rsidRPr="00E336F0">
              <w:rPr>
                <w:b/>
                <w:lang w:val="ru-RU"/>
              </w:rPr>
              <w:t>М.П.</w:t>
            </w:r>
          </w:p>
          <w:p w:rsidR="001A0240" w:rsidRPr="00E336F0" w:rsidRDefault="001A0240" w:rsidP="00D920FE">
            <w:pPr>
              <w:rPr>
                <w:b/>
              </w:rPr>
            </w:pPr>
          </w:p>
        </w:tc>
      </w:tr>
    </w:tbl>
    <w:p w:rsidR="001A0240" w:rsidRPr="00E336F0" w:rsidRDefault="001A0240" w:rsidP="001A0240">
      <w:pPr>
        <w:jc w:val="center"/>
        <w:rPr>
          <w:b/>
          <w:bCs/>
          <w:lang w:val="ru-RU"/>
        </w:rPr>
      </w:pPr>
    </w:p>
    <w:p w:rsidR="001A0240" w:rsidRPr="00E336F0" w:rsidRDefault="001A0240" w:rsidP="001A0240"/>
    <w:p w:rsidR="001A0240" w:rsidRPr="00E336F0" w:rsidRDefault="001A0240" w:rsidP="001A0240"/>
    <w:p w:rsidR="00B1037A" w:rsidRPr="00E336F0" w:rsidRDefault="00B1037A" w:rsidP="00B1037A">
      <w:pPr>
        <w:jc w:val="center"/>
        <w:rPr>
          <w:b/>
        </w:rPr>
      </w:pPr>
    </w:p>
    <w:p w:rsidR="00A65844" w:rsidRPr="00E336F0" w:rsidRDefault="00A65844" w:rsidP="00A65844">
      <w:pPr>
        <w:jc w:val="center"/>
        <w:rPr>
          <w:b/>
        </w:rPr>
      </w:pPr>
    </w:p>
    <w:p w:rsidR="003E4D7F" w:rsidRPr="00E336F0" w:rsidRDefault="003E4D7F" w:rsidP="003E4D7F">
      <w:pPr>
        <w:jc w:val="center"/>
        <w:rPr>
          <w:b/>
          <w:bCs/>
          <w:lang w:val="ru-RU"/>
        </w:rPr>
      </w:pPr>
    </w:p>
    <w:p w:rsidR="003E4D7F" w:rsidRPr="00E336F0" w:rsidRDefault="003E4D7F" w:rsidP="003E4D7F"/>
    <w:p w:rsidR="003E4D7F" w:rsidRPr="00E336F0" w:rsidRDefault="003E4D7F" w:rsidP="003E4D7F"/>
    <w:p w:rsidR="00504F4A" w:rsidRPr="00E336F0" w:rsidRDefault="00504F4A" w:rsidP="00504F4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lastRenderedPageBreak/>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lastRenderedPageBreak/>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059C6">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tbl>
      <w:tblPr>
        <w:tblW w:w="9493" w:type="dxa"/>
        <w:tblLayout w:type="fixed"/>
        <w:tblLook w:val="04A0" w:firstRow="1" w:lastRow="0" w:firstColumn="1" w:lastColumn="0" w:noHBand="0" w:noVBand="1"/>
      </w:tblPr>
      <w:tblGrid>
        <w:gridCol w:w="562"/>
        <w:gridCol w:w="1134"/>
        <w:gridCol w:w="5529"/>
        <w:gridCol w:w="1134"/>
        <w:gridCol w:w="1134"/>
      </w:tblGrid>
      <w:tr w:rsidR="001A0240" w:rsidRPr="009427AF" w:rsidTr="00D920FE">
        <w:trPr>
          <w:trHeight w:val="458"/>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1A0240" w:rsidRPr="009427AF" w:rsidRDefault="001A0240" w:rsidP="00D920FE">
            <w:pPr>
              <w:pStyle w:val="aff2"/>
              <w:jc w:val="center"/>
              <w:rPr>
                <w:b/>
                <w:sz w:val="22"/>
                <w:szCs w:val="22"/>
                <w:lang w:eastAsia="uk-UA"/>
              </w:rPr>
            </w:pPr>
            <w:r w:rsidRPr="009427AF">
              <w:rPr>
                <w:b/>
                <w:sz w:val="22"/>
                <w:szCs w:val="22"/>
                <w:lang w:eastAsia="uk-UA"/>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1A0240" w:rsidRPr="009427AF" w:rsidRDefault="001A0240" w:rsidP="00D920FE">
            <w:pPr>
              <w:pStyle w:val="aff2"/>
              <w:jc w:val="center"/>
              <w:rPr>
                <w:b/>
                <w:sz w:val="22"/>
                <w:szCs w:val="22"/>
                <w:lang w:eastAsia="uk-UA"/>
              </w:rPr>
            </w:pPr>
            <w:r w:rsidRPr="009427AF">
              <w:rPr>
                <w:b/>
                <w:sz w:val="22"/>
                <w:szCs w:val="22"/>
                <w:lang w:eastAsia="uk-UA"/>
              </w:rPr>
              <w:t>Іденти-фікатор</w:t>
            </w:r>
            <w:r w:rsidRPr="009427AF">
              <w:rPr>
                <w:b/>
                <w:sz w:val="22"/>
                <w:szCs w:val="22"/>
                <w:lang w:eastAsia="uk-UA"/>
              </w:rPr>
              <w:br/>
              <w:t xml:space="preserve"> ІП 2024</w:t>
            </w:r>
          </w:p>
        </w:tc>
        <w:tc>
          <w:tcPr>
            <w:tcW w:w="552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1A0240" w:rsidRPr="009427AF" w:rsidRDefault="001A0240" w:rsidP="00D920FE">
            <w:pPr>
              <w:pStyle w:val="aff2"/>
              <w:jc w:val="center"/>
              <w:rPr>
                <w:b/>
                <w:sz w:val="22"/>
                <w:szCs w:val="22"/>
                <w:lang w:eastAsia="uk-UA"/>
              </w:rPr>
            </w:pPr>
            <w:r w:rsidRPr="009427AF">
              <w:rPr>
                <w:b/>
                <w:sz w:val="22"/>
                <w:szCs w:val="22"/>
                <w:lang w:eastAsia="uk-UA"/>
              </w:rPr>
              <w:t>Предмет закупівлі</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1A0240" w:rsidRPr="009427AF" w:rsidRDefault="001A0240" w:rsidP="00D920FE">
            <w:pPr>
              <w:pStyle w:val="aff2"/>
              <w:jc w:val="center"/>
              <w:rPr>
                <w:b/>
                <w:sz w:val="22"/>
                <w:szCs w:val="22"/>
                <w:lang w:eastAsia="uk-UA"/>
              </w:rPr>
            </w:pPr>
            <w:r w:rsidRPr="009427AF">
              <w:rPr>
                <w:b/>
                <w:sz w:val="22"/>
                <w:szCs w:val="22"/>
                <w:lang w:eastAsia="uk-UA"/>
              </w:rPr>
              <w:t>Одиницявиміру.</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1A0240" w:rsidRPr="009427AF" w:rsidRDefault="001A0240" w:rsidP="00D920FE">
            <w:pPr>
              <w:pStyle w:val="aff2"/>
              <w:jc w:val="center"/>
              <w:rPr>
                <w:b/>
                <w:sz w:val="22"/>
                <w:szCs w:val="22"/>
                <w:lang w:eastAsia="uk-UA"/>
              </w:rPr>
            </w:pPr>
            <w:r w:rsidRPr="009427AF">
              <w:rPr>
                <w:b/>
                <w:sz w:val="22"/>
                <w:szCs w:val="22"/>
                <w:lang w:eastAsia="uk-UA"/>
              </w:rPr>
              <w:t>К-сть</w:t>
            </w:r>
          </w:p>
        </w:tc>
      </w:tr>
      <w:tr w:rsidR="001A0240" w:rsidRPr="009427AF" w:rsidTr="00D920FE">
        <w:trPr>
          <w:trHeight w:val="48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1A0240" w:rsidRPr="009427AF" w:rsidRDefault="001A0240" w:rsidP="00D920FE">
            <w:pPr>
              <w:rPr>
                <w:b/>
                <w:bCs/>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0240" w:rsidRPr="009427AF" w:rsidRDefault="001A0240" w:rsidP="00D920FE">
            <w:pPr>
              <w:rPr>
                <w:b/>
                <w:bCs/>
                <w:sz w:val="20"/>
                <w:szCs w:val="20"/>
                <w:lang w:eastAsia="uk-UA"/>
              </w:rPr>
            </w:pPr>
          </w:p>
        </w:tc>
        <w:tc>
          <w:tcPr>
            <w:tcW w:w="5529" w:type="dxa"/>
            <w:vMerge/>
            <w:tcBorders>
              <w:top w:val="single" w:sz="4" w:space="0" w:color="auto"/>
              <w:left w:val="single" w:sz="4" w:space="0" w:color="auto"/>
              <w:bottom w:val="single" w:sz="4" w:space="0" w:color="000000"/>
              <w:right w:val="single" w:sz="4" w:space="0" w:color="auto"/>
            </w:tcBorders>
            <w:vAlign w:val="center"/>
            <w:hideMark/>
          </w:tcPr>
          <w:p w:rsidR="001A0240" w:rsidRPr="009427AF" w:rsidRDefault="001A0240" w:rsidP="00D920FE">
            <w:pPr>
              <w:rPr>
                <w:b/>
                <w:bCs/>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0240" w:rsidRPr="009427AF" w:rsidRDefault="001A0240" w:rsidP="00D920FE">
            <w:pPr>
              <w:rPr>
                <w:b/>
                <w:bCs/>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0240" w:rsidRPr="009427AF" w:rsidRDefault="001A0240" w:rsidP="00D920FE">
            <w:pPr>
              <w:rPr>
                <w:b/>
                <w:bCs/>
                <w:sz w:val="20"/>
                <w:szCs w:val="20"/>
                <w:lang w:eastAsia="uk-UA"/>
              </w:rPr>
            </w:pPr>
          </w:p>
        </w:tc>
      </w:tr>
      <w:tr w:rsidR="001A0240" w:rsidRPr="009427AF" w:rsidTr="00D920FE">
        <w:trPr>
          <w:trHeight w:val="81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A0240" w:rsidRPr="009427AF" w:rsidRDefault="001A0240" w:rsidP="00D920FE">
            <w:pPr>
              <w:pStyle w:val="aff2"/>
              <w:jc w:val="center"/>
              <w:rPr>
                <w:b/>
                <w:lang w:eastAsia="uk-UA"/>
              </w:rPr>
            </w:pPr>
            <w:r w:rsidRPr="009427AF">
              <w:rPr>
                <w:b/>
                <w:lang w:eastAsia="uk-UA"/>
              </w:rPr>
              <w:t>1</w:t>
            </w:r>
          </w:p>
        </w:tc>
        <w:tc>
          <w:tcPr>
            <w:tcW w:w="1134" w:type="dxa"/>
            <w:tcBorders>
              <w:top w:val="nil"/>
              <w:left w:val="nil"/>
              <w:bottom w:val="single" w:sz="4" w:space="0" w:color="auto"/>
              <w:right w:val="single" w:sz="4" w:space="0" w:color="auto"/>
            </w:tcBorders>
            <w:shd w:val="clear" w:color="auto" w:fill="auto"/>
            <w:noWrap/>
            <w:vAlign w:val="center"/>
            <w:hideMark/>
          </w:tcPr>
          <w:p w:rsidR="001A0240" w:rsidRPr="009427AF" w:rsidRDefault="001A0240" w:rsidP="00D920FE">
            <w:pPr>
              <w:pStyle w:val="aff2"/>
              <w:jc w:val="center"/>
              <w:rPr>
                <w:b/>
                <w:lang w:eastAsia="uk-UA"/>
              </w:rPr>
            </w:pPr>
            <w:r w:rsidRPr="009427AF">
              <w:rPr>
                <w:b/>
                <w:lang w:eastAsia="uk-UA"/>
              </w:rPr>
              <w:t>7.</w:t>
            </w:r>
            <w:r>
              <w:rPr>
                <w:b/>
                <w:lang w:eastAsia="uk-UA"/>
              </w:rPr>
              <w:t>4</w:t>
            </w:r>
            <w:r w:rsidRPr="009427AF">
              <w:rPr>
                <w:b/>
                <w:lang w:eastAsia="uk-UA"/>
              </w:rPr>
              <w:t>.</w:t>
            </w:r>
            <w:r>
              <w:rPr>
                <w:b/>
                <w:lang w:eastAsia="uk-UA"/>
              </w:rPr>
              <w:t>2</w:t>
            </w:r>
          </w:p>
        </w:tc>
        <w:tc>
          <w:tcPr>
            <w:tcW w:w="5529" w:type="dxa"/>
            <w:tcBorders>
              <w:top w:val="nil"/>
              <w:left w:val="nil"/>
              <w:bottom w:val="single" w:sz="4" w:space="0" w:color="auto"/>
              <w:right w:val="single" w:sz="4" w:space="0" w:color="auto"/>
            </w:tcBorders>
            <w:shd w:val="clear" w:color="000000" w:fill="FFFFFF"/>
            <w:vAlign w:val="center"/>
            <w:hideMark/>
          </w:tcPr>
          <w:p w:rsidR="001A0240" w:rsidRPr="009427AF" w:rsidRDefault="001A0240" w:rsidP="00D920FE">
            <w:pPr>
              <w:pStyle w:val="aff2"/>
              <w:rPr>
                <w:b/>
                <w:color w:val="000000"/>
                <w:lang w:eastAsia="uk-UA"/>
              </w:rPr>
            </w:pPr>
            <w:r w:rsidRPr="00EB7488">
              <w:rPr>
                <w:b/>
                <w:color w:val="000000"/>
                <w:lang w:eastAsia="uk-UA"/>
              </w:rPr>
              <w:t>Вольтамперфазомір (ВАФ) МІРА-А (Evartis) або еквівалент</w:t>
            </w:r>
          </w:p>
        </w:tc>
        <w:tc>
          <w:tcPr>
            <w:tcW w:w="1134" w:type="dxa"/>
            <w:tcBorders>
              <w:top w:val="nil"/>
              <w:left w:val="nil"/>
              <w:bottom w:val="single" w:sz="4" w:space="0" w:color="auto"/>
              <w:right w:val="single" w:sz="4" w:space="0" w:color="auto"/>
            </w:tcBorders>
            <w:shd w:val="clear" w:color="auto" w:fill="auto"/>
            <w:noWrap/>
            <w:vAlign w:val="center"/>
            <w:hideMark/>
          </w:tcPr>
          <w:p w:rsidR="001A0240" w:rsidRPr="009427AF" w:rsidRDefault="001A0240" w:rsidP="00D920FE">
            <w:pPr>
              <w:pStyle w:val="aff2"/>
              <w:jc w:val="center"/>
              <w:rPr>
                <w:b/>
                <w:lang w:eastAsia="uk-UA"/>
              </w:rPr>
            </w:pPr>
            <w:r>
              <w:rPr>
                <w:b/>
                <w:lang w:eastAsia="uk-UA"/>
              </w:rPr>
              <w:t>шт.</w:t>
            </w:r>
          </w:p>
        </w:tc>
        <w:tc>
          <w:tcPr>
            <w:tcW w:w="1134" w:type="dxa"/>
            <w:tcBorders>
              <w:top w:val="nil"/>
              <w:left w:val="nil"/>
              <w:bottom w:val="single" w:sz="4" w:space="0" w:color="auto"/>
              <w:right w:val="single" w:sz="4" w:space="0" w:color="auto"/>
            </w:tcBorders>
            <w:shd w:val="clear" w:color="000000" w:fill="FFFFFF"/>
            <w:noWrap/>
            <w:vAlign w:val="center"/>
            <w:hideMark/>
          </w:tcPr>
          <w:p w:rsidR="001A0240" w:rsidRPr="009427AF" w:rsidRDefault="001A0240" w:rsidP="00D920FE">
            <w:pPr>
              <w:pStyle w:val="aff2"/>
              <w:jc w:val="center"/>
              <w:rPr>
                <w:b/>
                <w:lang w:eastAsia="uk-UA"/>
              </w:rPr>
            </w:pPr>
            <w:r>
              <w:rPr>
                <w:b/>
                <w:lang w:eastAsia="uk-UA"/>
              </w:rPr>
              <w:t>3</w:t>
            </w:r>
          </w:p>
        </w:tc>
      </w:tr>
    </w:tbl>
    <w:p w:rsidR="001A0240" w:rsidRDefault="001A0240" w:rsidP="001A0240">
      <w:pPr>
        <w:widowControl w:val="0"/>
        <w:rPr>
          <w:b/>
          <w:bCs/>
        </w:rPr>
      </w:pPr>
    </w:p>
    <w:p w:rsidR="001A0240" w:rsidRDefault="001A0240" w:rsidP="001A0240">
      <w:pPr>
        <w:widowControl w:val="0"/>
        <w:rPr>
          <w:b/>
          <w:bCs/>
        </w:rPr>
      </w:pPr>
    </w:p>
    <w:p w:rsidR="001A0240" w:rsidRDefault="001A0240" w:rsidP="001A0240">
      <w:pPr>
        <w:widowControl w:val="0"/>
        <w:rPr>
          <w:b/>
          <w:bCs/>
        </w:rPr>
      </w:pPr>
    </w:p>
    <w:p w:rsidR="001A0240" w:rsidRPr="00EB7488" w:rsidRDefault="001A0240" w:rsidP="001A0240">
      <w:pPr>
        <w:pStyle w:val="aff2"/>
        <w:numPr>
          <w:ilvl w:val="0"/>
          <w:numId w:val="31"/>
        </w:numPr>
        <w:rPr>
          <w:b/>
          <w:bCs/>
        </w:rPr>
      </w:pPr>
      <w:r w:rsidRPr="00EB7488">
        <w:rPr>
          <w:b/>
          <w:lang w:eastAsia="uk-UA"/>
        </w:rPr>
        <w:t>Вольтамперфазомір (ВАФ) МІРА-А (Evartis) або еквівалент</w:t>
      </w:r>
    </w:p>
    <w:p w:rsidR="001A0240" w:rsidRPr="00F13A9A" w:rsidRDefault="001A0240" w:rsidP="001A0240">
      <w:pPr>
        <w:pStyle w:val="afd"/>
        <w:suppressAutoHyphens/>
        <w:rPr>
          <w:szCs w:val="20"/>
        </w:rPr>
      </w:pPr>
    </w:p>
    <w:p w:rsidR="001A0240" w:rsidRPr="00F13A9A" w:rsidRDefault="001A0240" w:rsidP="001A0240">
      <w:pPr>
        <w:pStyle w:val="aff2"/>
      </w:pPr>
      <w:r w:rsidRPr="00F13A9A">
        <w:t>Вольтамперфазометр МІРА-А призначений для використання при проведенні налагоджувальних робіт у вторинних колах вимірювальних трансформаторів струму та напруги, колах лічильників електроенергії.</w:t>
      </w:r>
    </w:p>
    <w:p w:rsidR="001A0240" w:rsidRPr="00F13A9A" w:rsidRDefault="001A0240" w:rsidP="001A0240">
      <w:pPr>
        <w:pStyle w:val="aff2"/>
      </w:pPr>
      <w:r w:rsidRPr="00F13A9A">
        <w:t>Вольтамперфазометр МІРА-А забезпечує вимірювання наступних параметрів електричної мережі:</w:t>
      </w:r>
    </w:p>
    <w:p w:rsidR="001A0240" w:rsidRPr="00F13A9A" w:rsidRDefault="001A0240" w:rsidP="001A0240">
      <w:pPr>
        <w:pStyle w:val="aff2"/>
      </w:pPr>
      <w:r w:rsidRPr="00F13A9A">
        <w:t>•</w:t>
      </w:r>
      <w:r w:rsidRPr="00F13A9A">
        <w:tab/>
        <w:t>напруги змінного струму (основна частота, 50Гц);</w:t>
      </w:r>
    </w:p>
    <w:p w:rsidR="001A0240" w:rsidRPr="00F13A9A" w:rsidRDefault="001A0240" w:rsidP="001A0240">
      <w:pPr>
        <w:pStyle w:val="aff2"/>
      </w:pPr>
      <w:r w:rsidRPr="00F13A9A">
        <w:t>•</w:t>
      </w:r>
      <w:r w:rsidRPr="00F13A9A">
        <w:tab/>
        <w:t xml:space="preserve">напруги змінного струму ( вищі гармоніки, 2÷23 ); </w:t>
      </w:r>
    </w:p>
    <w:p w:rsidR="001A0240" w:rsidRPr="00F13A9A" w:rsidRDefault="001A0240" w:rsidP="001A0240">
      <w:pPr>
        <w:pStyle w:val="aff2"/>
      </w:pPr>
      <w:r w:rsidRPr="00F13A9A">
        <w:t>•</w:t>
      </w:r>
      <w:r w:rsidRPr="00F13A9A">
        <w:tab/>
        <w:t>напруги змінного струму (середньоквадратичне значення (RMS));</w:t>
      </w:r>
    </w:p>
    <w:p w:rsidR="001A0240" w:rsidRPr="00F13A9A" w:rsidRDefault="001A0240" w:rsidP="001A0240">
      <w:pPr>
        <w:pStyle w:val="aff2"/>
      </w:pPr>
      <w:r w:rsidRPr="00F13A9A">
        <w:t>•</w:t>
      </w:r>
      <w:r w:rsidRPr="00F13A9A">
        <w:tab/>
        <w:t>сили змінного струму (основна частота, 50Гц);</w:t>
      </w:r>
    </w:p>
    <w:p w:rsidR="001A0240" w:rsidRPr="00F13A9A" w:rsidRDefault="001A0240" w:rsidP="001A0240">
      <w:pPr>
        <w:pStyle w:val="aff2"/>
      </w:pPr>
      <w:r w:rsidRPr="00F13A9A">
        <w:t>•</w:t>
      </w:r>
      <w:r w:rsidRPr="00F13A9A">
        <w:tab/>
        <w:t xml:space="preserve">сили змінного струму ( вищі гармоніки, 2÷23 ); </w:t>
      </w:r>
    </w:p>
    <w:p w:rsidR="001A0240" w:rsidRPr="00F13A9A" w:rsidRDefault="001A0240" w:rsidP="001A0240">
      <w:pPr>
        <w:pStyle w:val="aff2"/>
      </w:pPr>
      <w:r w:rsidRPr="00F13A9A">
        <w:t>•</w:t>
      </w:r>
      <w:r w:rsidRPr="00F13A9A">
        <w:tab/>
        <w:t>сили змінного струму (середньоквадратичне значення (RMS));</w:t>
      </w:r>
    </w:p>
    <w:p w:rsidR="001A0240" w:rsidRPr="00F13A9A" w:rsidRDefault="001A0240" w:rsidP="001A0240">
      <w:pPr>
        <w:pStyle w:val="aff2"/>
      </w:pPr>
      <w:r w:rsidRPr="00F13A9A">
        <w:t>•</w:t>
      </w:r>
      <w:r w:rsidRPr="00F13A9A">
        <w:tab/>
        <w:t>зсуву фаз між вимірювальними входами струму та напруги відносно заданого базового вимірювального каналу (задається в меню пристрою);</w:t>
      </w:r>
    </w:p>
    <w:p w:rsidR="001A0240" w:rsidRPr="00F13A9A" w:rsidRDefault="001A0240" w:rsidP="001A0240">
      <w:pPr>
        <w:pStyle w:val="aff2"/>
      </w:pPr>
      <w:r w:rsidRPr="00F13A9A">
        <w:t>•</w:t>
      </w:r>
      <w:r w:rsidRPr="00F13A9A">
        <w:tab/>
        <w:t>частоти змінного струму (два канали вимірювання частоти на які можна назначити будь який з вимірювальних входів струму чи напруги)</w:t>
      </w:r>
    </w:p>
    <w:p w:rsidR="001A0240" w:rsidRPr="00F13A9A" w:rsidRDefault="001A0240" w:rsidP="001A0240">
      <w:pPr>
        <w:pStyle w:val="aff2"/>
      </w:pPr>
      <w:r w:rsidRPr="00F13A9A">
        <w:t>•</w:t>
      </w:r>
      <w:r w:rsidRPr="00F13A9A">
        <w:tab/>
        <w:t>напруги постійного струму;</w:t>
      </w:r>
    </w:p>
    <w:p w:rsidR="001A0240" w:rsidRPr="00F13A9A" w:rsidRDefault="001A0240" w:rsidP="001A0240">
      <w:pPr>
        <w:pStyle w:val="aff2"/>
      </w:pPr>
      <w:r w:rsidRPr="00F13A9A">
        <w:t>•</w:t>
      </w:r>
      <w:r w:rsidRPr="00F13A9A">
        <w:tab/>
        <w:t>сили постійного струму (додаткова опція, струмовимірювальні кліщі для постійного струму).</w:t>
      </w:r>
    </w:p>
    <w:p w:rsidR="001A0240" w:rsidRPr="00F13A9A" w:rsidRDefault="001A0240" w:rsidP="001A0240">
      <w:pPr>
        <w:pStyle w:val="aff2"/>
      </w:pPr>
      <w:r w:rsidRPr="00F13A9A">
        <w:t>На основі виміряних значень струму, напруги та фазового зсуву МІРА А забезпечує розрахунок та відображення  наступних параметрів електричної мережі:</w:t>
      </w:r>
    </w:p>
    <w:p w:rsidR="001A0240" w:rsidRPr="00F13A9A" w:rsidRDefault="001A0240" w:rsidP="001A0240">
      <w:pPr>
        <w:pStyle w:val="aff2"/>
      </w:pPr>
      <w:r w:rsidRPr="00F13A9A">
        <w:t>•</w:t>
      </w:r>
      <w:r w:rsidRPr="00F13A9A">
        <w:tab/>
        <w:t>величин розрахункових значень лінійних напруг змінного струму;</w:t>
      </w:r>
    </w:p>
    <w:p w:rsidR="001A0240" w:rsidRPr="00F13A9A" w:rsidRDefault="001A0240" w:rsidP="001A0240">
      <w:pPr>
        <w:pStyle w:val="aff2"/>
      </w:pPr>
      <w:r w:rsidRPr="00F13A9A">
        <w:t>•</w:t>
      </w:r>
      <w:r w:rsidRPr="00F13A9A">
        <w:tab/>
        <w:t>величин прямої, зворотної та нульової послідовності напруги змінного струму;</w:t>
      </w:r>
    </w:p>
    <w:p w:rsidR="001A0240" w:rsidRPr="00F13A9A" w:rsidRDefault="001A0240" w:rsidP="001A0240">
      <w:pPr>
        <w:pStyle w:val="aff2"/>
      </w:pPr>
      <w:r w:rsidRPr="00F13A9A">
        <w:t>•</w:t>
      </w:r>
      <w:r w:rsidRPr="00F13A9A">
        <w:tab/>
        <w:t>величин прямої, зворотної та нульової послідовності сили змінного струму;</w:t>
      </w:r>
    </w:p>
    <w:p w:rsidR="001A0240" w:rsidRPr="00F13A9A" w:rsidRDefault="001A0240" w:rsidP="001A0240">
      <w:pPr>
        <w:pStyle w:val="aff2"/>
      </w:pPr>
      <w:r w:rsidRPr="00F13A9A">
        <w:t>•</w:t>
      </w:r>
      <w:r w:rsidRPr="00F13A9A">
        <w:tab/>
        <w:t>пофазних значень активної, реактивної та повної потужності і Cos φ;</w:t>
      </w:r>
    </w:p>
    <w:p w:rsidR="001A0240" w:rsidRPr="00F13A9A" w:rsidRDefault="001A0240" w:rsidP="001A0240">
      <w:pPr>
        <w:pStyle w:val="aff2"/>
      </w:pPr>
      <w:r w:rsidRPr="00F13A9A">
        <w:t>•</w:t>
      </w:r>
      <w:r w:rsidRPr="00F13A9A">
        <w:tab/>
        <w:t>трифазних значень активної, реактивної та повної потужності і Cos φ;</w:t>
      </w:r>
    </w:p>
    <w:p w:rsidR="001A0240" w:rsidRPr="00F13A9A" w:rsidRDefault="001A0240" w:rsidP="001A0240">
      <w:pPr>
        <w:pStyle w:val="aff2"/>
      </w:pPr>
      <w:r w:rsidRPr="00F13A9A">
        <w:t>•</w:t>
      </w:r>
      <w:r w:rsidRPr="00F13A9A">
        <w:tab/>
        <w:t>величин пофазних значень активного та реактивного опору;</w:t>
      </w:r>
    </w:p>
    <w:p w:rsidR="001A0240" w:rsidRPr="00F13A9A" w:rsidRDefault="001A0240" w:rsidP="001A0240">
      <w:pPr>
        <w:pStyle w:val="aff2"/>
      </w:pPr>
      <w:r w:rsidRPr="00F13A9A">
        <w:t>•</w:t>
      </w:r>
      <w:r w:rsidRPr="00F13A9A">
        <w:tab/>
        <w:t>коефіцієнту гармонічних спотворень вимірювальних каналів, струмів (Ia,Ib,Ic) та напруг (Ua,Ub,Uc).</w:t>
      </w:r>
    </w:p>
    <w:p w:rsidR="001A0240" w:rsidRPr="00EB7488" w:rsidRDefault="001A0240" w:rsidP="001A0240">
      <w:pPr>
        <w:pStyle w:val="aff2"/>
      </w:pPr>
    </w:p>
    <w:p w:rsidR="001A0240" w:rsidRPr="00EB7488" w:rsidRDefault="001A0240" w:rsidP="001A0240">
      <w:pPr>
        <w:pStyle w:val="aff2"/>
        <w:rPr>
          <w:lang w:eastAsia="uk-UA"/>
        </w:rPr>
      </w:pPr>
    </w:p>
    <w:p w:rsidR="00031088" w:rsidRDefault="00031088" w:rsidP="000D5B84">
      <w:pPr>
        <w:jc w:val="right"/>
        <w:rPr>
          <w:b/>
          <w:bCs/>
        </w:rPr>
      </w:pPr>
    </w:p>
    <w:p w:rsidR="00907138" w:rsidRDefault="00907138" w:rsidP="00907138">
      <w:pPr>
        <w:tabs>
          <w:tab w:val="left" w:pos="300"/>
        </w:tabs>
        <w:rPr>
          <w:b/>
          <w:bCs/>
        </w:rPr>
      </w:pPr>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w:t>
      </w:r>
      <w:r w:rsidRPr="00A70938">
        <w:lastRenderedPageBreak/>
        <w:t>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2224D3">
      <w:pPr>
        <w:ind w:firstLine="709"/>
      </w:pPr>
    </w:p>
    <w:p w:rsidR="00907138" w:rsidRDefault="00907138" w:rsidP="002224D3">
      <w:pPr>
        <w:ind w:firstLine="709"/>
      </w:pPr>
    </w:p>
    <w:sectPr w:rsidR="00907138" w:rsidSect="005E77AC">
      <w:footerReference w:type="default" r:id="rId30"/>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F8" w:rsidRDefault="00240BF8">
      <w:r>
        <w:separator/>
      </w:r>
    </w:p>
  </w:endnote>
  <w:endnote w:type="continuationSeparator" w:id="0">
    <w:p w:rsidR="00240BF8" w:rsidRDefault="0024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46" w:rsidRDefault="00561C4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561C46" w:rsidRDefault="00561C4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46" w:rsidRDefault="00561C4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A0240">
      <w:rPr>
        <w:rStyle w:val="a9"/>
        <w:noProof/>
      </w:rPr>
      <w:t>4</w:t>
    </w:r>
    <w:r>
      <w:rPr>
        <w:rStyle w:val="a9"/>
      </w:rPr>
      <w:fldChar w:fldCharType="end"/>
    </w:r>
  </w:p>
  <w:p w:rsidR="00561C46" w:rsidRDefault="00561C46" w:rsidP="007A4B6C">
    <w:pPr>
      <w:pStyle w:val="a5"/>
      <w:framePr w:wrap="around" w:vAnchor="text" w:hAnchor="margin" w:xAlign="right" w:y="1"/>
      <w:jc w:val="center"/>
      <w:rPr>
        <w:rStyle w:val="a9"/>
      </w:rPr>
    </w:pPr>
  </w:p>
  <w:p w:rsidR="00561C46" w:rsidRDefault="00561C46" w:rsidP="009B0AC3">
    <w:pPr>
      <w:pStyle w:val="a5"/>
      <w:framePr w:wrap="around" w:vAnchor="text" w:hAnchor="margin" w:y="1"/>
      <w:ind w:right="360"/>
      <w:rPr>
        <w:rStyle w:val="a9"/>
      </w:rPr>
    </w:pPr>
  </w:p>
  <w:p w:rsidR="00561C46" w:rsidRDefault="00561C4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46" w:rsidRDefault="00561C4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46" w:rsidRDefault="00561C46">
    <w:pPr>
      <w:pStyle w:val="a5"/>
      <w:jc w:val="center"/>
    </w:pPr>
    <w:r>
      <w:fldChar w:fldCharType="begin"/>
    </w:r>
    <w:r>
      <w:instrText xml:space="preserve"> PAGE   \* MERGEFORMAT </w:instrText>
    </w:r>
    <w:r>
      <w:fldChar w:fldCharType="separate"/>
    </w:r>
    <w:r w:rsidR="001A0240">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F8" w:rsidRDefault="00240BF8">
      <w:r>
        <w:separator/>
      </w:r>
    </w:p>
  </w:footnote>
  <w:footnote w:type="continuationSeparator" w:id="0">
    <w:p w:rsidR="00240BF8" w:rsidRDefault="0024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46" w:rsidRDefault="00561C4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46" w:rsidRDefault="00561C4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46" w:rsidRDefault="00561C4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AD31D3"/>
    <w:multiLevelType w:val="hybridMultilevel"/>
    <w:tmpl w:val="6B8400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003EBC"/>
    <w:multiLevelType w:val="hybridMultilevel"/>
    <w:tmpl w:val="FCB8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633496"/>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CB6483"/>
    <w:multiLevelType w:val="hybridMultilevel"/>
    <w:tmpl w:val="FBE29442"/>
    <w:lvl w:ilvl="0" w:tplc="0419000F">
      <w:start w:val="1"/>
      <w:numFmt w:val="decimal"/>
      <w:lvlText w:val="%1."/>
      <w:lvlJc w:val="left"/>
      <w:pPr>
        <w:tabs>
          <w:tab w:val="num" w:pos="720"/>
        </w:tabs>
        <w:ind w:left="720" w:hanging="6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F1B0631"/>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8E49BE"/>
    <w:multiLevelType w:val="hybridMultilevel"/>
    <w:tmpl w:val="6BD2E1D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D52A42"/>
    <w:multiLevelType w:val="hybridMultilevel"/>
    <w:tmpl w:val="73B4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63420D"/>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DF683E"/>
    <w:multiLevelType w:val="hybridMultilevel"/>
    <w:tmpl w:val="2CA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4C547C9F"/>
    <w:multiLevelType w:val="hybridMultilevel"/>
    <w:tmpl w:val="7ED66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C249B8"/>
    <w:multiLevelType w:val="hybridMultilevel"/>
    <w:tmpl w:val="F4EE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5D2DB4"/>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5"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F25DD3"/>
    <w:multiLevelType w:val="hybridMultilevel"/>
    <w:tmpl w:val="1B6A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084856"/>
    <w:multiLevelType w:val="hybridMultilevel"/>
    <w:tmpl w:val="B3F41B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B56675"/>
    <w:multiLevelType w:val="hybridMultilevel"/>
    <w:tmpl w:val="F2207A2C"/>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D46DA0"/>
    <w:multiLevelType w:val="hybridMultilevel"/>
    <w:tmpl w:val="DA8267C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9442E26"/>
    <w:multiLevelType w:val="hybridMultilevel"/>
    <w:tmpl w:val="45E8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5"/>
  </w:num>
  <w:num w:numId="3">
    <w:abstractNumId w:val="24"/>
  </w:num>
  <w:num w:numId="4">
    <w:abstractNumId w:val="31"/>
  </w:num>
  <w:num w:numId="5">
    <w:abstractNumId w:val="25"/>
  </w:num>
  <w:num w:numId="6">
    <w:abstractNumId w:val="6"/>
  </w:num>
  <w:num w:numId="7">
    <w:abstractNumId w:val="14"/>
  </w:num>
  <w:num w:numId="8">
    <w:abstractNumId w:val="9"/>
  </w:num>
  <w:num w:numId="9">
    <w:abstractNumId w:val="16"/>
  </w:num>
  <w:num w:numId="10">
    <w:abstractNumId w:val="32"/>
  </w:num>
  <w:num w:numId="11">
    <w:abstractNumId w:val="7"/>
  </w:num>
  <w:num w:numId="12">
    <w:abstractNumId w:val="20"/>
  </w:num>
  <w:num w:numId="13">
    <w:abstractNumId w:val="18"/>
  </w:num>
  <w:num w:numId="14">
    <w:abstractNumId w:val="19"/>
  </w:num>
  <w:num w:numId="15">
    <w:abstractNumId w:val="15"/>
  </w:num>
  <w:num w:numId="16">
    <w:abstractNumId w:val="30"/>
  </w:num>
  <w:num w:numId="17">
    <w:abstractNumId w:val="22"/>
  </w:num>
  <w:num w:numId="18">
    <w:abstractNumId w:val="1"/>
  </w:num>
  <w:num w:numId="19">
    <w:abstractNumId w:val="28"/>
  </w:num>
  <w:num w:numId="20">
    <w:abstractNumId w:val="11"/>
  </w:num>
  <w:num w:numId="21">
    <w:abstractNumId w:val="23"/>
  </w:num>
  <w:num w:numId="22">
    <w:abstractNumId w:val="17"/>
  </w:num>
  <w:num w:numId="23">
    <w:abstractNumId w:val="8"/>
  </w:num>
  <w:num w:numId="24">
    <w:abstractNumId w:val="26"/>
  </w:num>
  <w:num w:numId="25">
    <w:abstractNumId w:val="12"/>
  </w:num>
  <w:num w:numId="26">
    <w:abstractNumId w:val="10"/>
  </w:num>
  <w:num w:numId="27">
    <w:abstractNumId w:val="27"/>
  </w:num>
  <w:num w:numId="28">
    <w:abstractNumId w:val="29"/>
  </w:num>
  <w:num w:numId="29">
    <w:abstractNumId w:val="13"/>
  </w:num>
  <w:num w:numId="30">
    <w:abstractNumId w:val="21"/>
  </w:num>
  <w:num w:numId="3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84A"/>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90E"/>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4B8"/>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7DF"/>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4A1"/>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020"/>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240"/>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3ED"/>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BF8"/>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75A"/>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4F9"/>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26"/>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FE3"/>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1E5"/>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3F57"/>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B0B"/>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ADA"/>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9CB"/>
    <w:rsid w:val="003E2C06"/>
    <w:rsid w:val="003E2C5B"/>
    <w:rsid w:val="003E2D1C"/>
    <w:rsid w:val="003E2EFE"/>
    <w:rsid w:val="003E36D5"/>
    <w:rsid w:val="003E3701"/>
    <w:rsid w:val="003E441E"/>
    <w:rsid w:val="003E4D7F"/>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2F"/>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2F5C"/>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07B"/>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2DC"/>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694"/>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56E"/>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4F4A"/>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5F24"/>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1C46"/>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9EF"/>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AA4"/>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5FD9"/>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254"/>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1F75"/>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760"/>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8F0"/>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1F40"/>
    <w:rsid w:val="008B2726"/>
    <w:rsid w:val="008B296C"/>
    <w:rsid w:val="008B2AAD"/>
    <w:rsid w:val="008B2EE5"/>
    <w:rsid w:val="008B30A0"/>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00D"/>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8BD"/>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138"/>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356"/>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6C6"/>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CC2"/>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09"/>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44"/>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67FF2"/>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5F15"/>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1A6"/>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57C"/>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71E"/>
    <w:rsid w:val="00BB0F5E"/>
    <w:rsid w:val="00BB1437"/>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72A"/>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DCA"/>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137"/>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A31"/>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A8"/>
    <w:rsid w:val="00CD40F9"/>
    <w:rsid w:val="00CD4117"/>
    <w:rsid w:val="00CD4385"/>
    <w:rsid w:val="00CD439A"/>
    <w:rsid w:val="00CD44F0"/>
    <w:rsid w:val="00CD4675"/>
    <w:rsid w:val="00CD4712"/>
    <w:rsid w:val="00CD4714"/>
    <w:rsid w:val="00CD4743"/>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732"/>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4BE9"/>
    <w:rsid w:val="00D5559C"/>
    <w:rsid w:val="00D558FD"/>
    <w:rsid w:val="00D55B01"/>
    <w:rsid w:val="00D55E8E"/>
    <w:rsid w:val="00D563C0"/>
    <w:rsid w:val="00D56452"/>
    <w:rsid w:val="00D56750"/>
    <w:rsid w:val="00D56C0C"/>
    <w:rsid w:val="00D57134"/>
    <w:rsid w:val="00D57339"/>
    <w:rsid w:val="00D57522"/>
    <w:rsid w:val="00D57556"/>
    <w:rsid w:val="00D57BCD"/>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4ED8"/>
    <w:rsid w:val="00DC52A5"/>
    <w:rsid w:val="00DC53F8"/>
    <w:rsid w:val="00DC5473"/>
    <w:rsid w:val="00DC591F"/>
    <w:rsid w:val="00DC5A37"/>
    <w:rsid w:val="00DC5B87"/>
    <w:rsid w:val="00DC6A2B"/>
    <w:rsid w:val="00DC6A7B"/>
    <w:rsid w:val="00DC6B70"/>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9C6"/>
    <w:rsid w:val="00E05F6F"/>
    <w:rsid w:val="00E06340"/>
    <w:rsid w:val="00E06EF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0EF"/>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12A"/>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77671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694"/>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04F4A"/>
    <w:pPr>
      <w:widowControl w:val="0"/>
      <w:autoSpaceDE w:val="0"/>
      <w:autoSpaceDN w:val="0"/>
    </w:pPr>
    <w:rPr>
      <w:sz w:val="22"/>
      <w:szCs w:val="22"/>
      <w:lang w:eastAsia="uk-UA" w:bidi="uk-UA"/>
    </w:rPr>
  </w:style>
  <w:style w:type="paragraph" w:customStyle="1" w:styleId="xmsonormal">
    <w:name w:val="x_msonormal"/>
    <w:basedOn w:val="a"/>
    <w:rsid w:val="00432F5C"/>
    <w:pPr>
      <w:spacing w:before="100" w:beforeAutospacing="1" w:after="100" w:afterAutospacing="1"/>
    </w:pPr>
    <w:rPr>
      <w:lang w:eastAsia="uk-UA"/>
    </w:rPr>
  </w:style>
  <w:style w:type="paragraph" w:customStyle="1" w:styleId="Textbody">
    <w:name w:val="Text body"/>
    <w:basedOn w:val="a"/>
    <w:rsid w:val="003E4D7F"/>
    <w:pPr>
      <w:suppressAutoHyphens/>
      <w:autoSpaceDN w:val="0"/>
      <w:spacing w:after="140" w:line="288" w:lineRule="auto"/>
      <w:textAlignment w:val="baseline"/>
    </w:pPr>
    <w:rPr>
      <w:rFonts w:ascii="Calibri" w:hAnsi="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22708960">
      <w:bodyDiv w:val="1"/>
      <w:marLeft w:val="0"/>
      <w:marRight w:val="0"/>
      <w:marTop w:val="0"/>
      <w:marBottom w:val="0"/>
      <w:divBdr>
        <w:top w:val="none" w:sz="0" w:space="0" w:color="auto"/>
        <w:left w:val="none" w:sz="0" w:space="0" w:color="auto"/>
        <w:bottom w:val="none" w:sz="0" w:space="0" w:color="auto"/>
        <w:right w:val="none" w:sz="0" w:space="0" w:color="auto"/>
      </w:divBdr>
    </w:div>
    <w:div w:id="357970463">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1005187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1880206">
      <w:bodyDiv w:val="1"/>
      <w:marLeft w:val="0"/>
      <w:marRight w:val="0"/>
      <w:marTop w:val="0"/>
      <w:marBottom w:val="0"/>
      <w:divBdr>
        <w:top w:val="none" w:sz="0" w:space="0" w:color="auto"/>
        <w:left w:val="none" w:sz="0" w:space="0" w:color="auto"/>
        <w:bottom w:val="none" w:sz="0" w:space="0" w:color="auto"/>
        <w:right w:val="none" w:sz="0" w:space="0" w:color="auto"/>
      </w:divBdr>
    </w:div>
    <w:div w:id="1079793420">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1949189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36947031">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33625833">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517255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7888827">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96491784">
      <w:bodyDiv w:val="1"/>
      <w:marLeft w:val="0"/>
      <w:marRight w:val="0"/>
      <w:marTop w:val="0"/>
      <w:marBottom w:val="0"/>
      <w:divBdr>
        <w:top w:val="none" w:sz="0" w:space="0" w:color="auto"/>
        <w:left w:val="none" w:sz="0" w:space="0" w:color="auto"/>
        <w:bottom w:val="none" w:sz="0" w:space="0" w:color="auto"/>
        <w:right w:val="none" w:sz="0" w:space="0" w:color="auto"/>
      </w:divBdr>
    </w:div>
    <w:div w:id="2000183348">
      <w:bodyDiv w:val="1"/>
      <w:marLeft w:val="0"/>
      <w:marRight w:val="0"/>
      <w:marTop w:val="0"/>
      <w:marBottom w:val="0"/>
      <w:divBdr>
        <w:top w:val="none" w:sz="0" w:space="0" w:color="auto"/>
        <w:left w:val="none" w:sz="0" w:space="0" w:color="auto"/>
        <w:bottom w:val="none" w:sz="0" w:space="0" w:color="auto"/>
        <w:right w:val="none" w:sz="0" w:space="0" w:color="auto"/>
      </w:divBdr>
    </w:div>
    <w:div w:id="204768237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adnuk.com.ua/pravova-baza/pro-zatverdzhennia-typovoi-antykoruptsijnoi-prohramy-iurydychnoi-osoby/"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corruptinfo.nazk.gov.u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print"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99DC-1BD4-4B30-9412-4CB6CD2D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97998</Words>
  <Characters>55859</Characters>
  <Application>Microsoft Office Word</Application>
  <DocSecurity>0</DocSecurity>
  <Lines>465</Lines>
  <Paragraphs>307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2024-03-29T09:22:00Z</dcterms:created>
  <dcterms:modified xsi:type="dcterms:W3CDTF">2024-03-29T09:22:00Z</dcterms:modified>
</cp:coreProperties>
</file>