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BB0F" w14:textId="7912145D" w:rsidR="00DC0FAD" w:rsidRDefault="00DC0FAD" w:rsidP="00DC0FAD">
      <w:pPr>
        <w:ind w:firstLine="180"/>
        <w:jc w:val="right"/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</w:pPr>
      <w:proofErr w:type="spellStart"/>
      <w:r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>Додаток</w:t>
      </w:r>
      <w:proofErr w:type="spellEnd"/>
      <w:r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 xml:space="preserve"> 3</w:t>
      </w:r>
      <w:r w:rsidR="004026C4"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 xml:space="preserve"> до </w:t>
      </w:r>
      <w:proofErr w:type="spellStart"/>
      <w:r w:rsidR="004026C4"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>Тендерної</w:t>
      </w:r>
      <w:proofErr w:type="spellEnd"/>
      <w:r w:rsidR="004026C4"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 xml:space="preserve"> </w:t>
      </w:r>
      <w:proofErr w:type="spellStart"/>
      <w:r w:rsidR="004026C4"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>документації</w:t>
      </w:r>
      <w:proofErr w:type="spellEnd"/>
    </w:p>
    <w:p w14:paraId="6F604BF4" w14:textId="77777777" w:rsidR="00DC0FAD" w:rsidRDefault="00DC0FAD" w:rsidP="00ED6E68">
      <w:pPr>
        <w:ind w:firstLine="180"/>
        <w:jc w:val="center"/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</w:pPr>
    </w:p>
    <w:p w14:paraId="5429DE6D" w14:textId="77777777" w:rsidR="00DC0FAD" w:rsidRDefault="00DC0FAD" w:rsidP="00ED6E68">
      <w:pPr>
        <w:ind w:firstLine="180"/>
        <w:jc w:val="center"/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</w:pPr>
    </w:p>
    <w:p w14:paraId="1DA2D24D" w14:textId="5C4EC008" w:rsidR="00ED6E68" w:rsidRDefault="00ED6E68" w:rsidP="00ED6E68">
      <w:pPr>
        <w:ind w:firstLine="180"/>
        <w:jc w:val="center"/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CA55AC" wp14:editId="2B412D35">
                <wp:simplePos x="0" y="0"/>
                <wp:positionH relativeFrom="page">
                  <wp:posOffset>5501640</wp:posOffset>
                </wp:positionH>
                <wp:positionV relativeFrom="paragraph">
                  <wp:posOffset>1651000</wp:posOffset>
                </wp:positionV>
                <wp:extent cx="0" cy="178435"/>
                <wp:effectExtent l="24765" t="27305" r="22860" b="22860"/>
                <wp:wrapNone/>
                <wp:docPr id="1" name="Пряма зі стрілкою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45720">
                          <a:solidFill>
                            <a:srgbClr val="EFEF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FEB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1" o:spid="_x0000_s1026" type="#_x0000_t32" style="position:absolute;margin-left:433.2pt;margin-top:130pt;width:0;height: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" o:allowincell="f" strokecolor="#efeff2" strokeweight="3.6pt">
                <w10:wrap anchorx="page"/>
              </v:shape>
            </w:pict>
          </mc:Fallback>
        </mc:AlternateContent>
      </w:r>
      <w:proofErr w:type="spellStart"/>
      <w:r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>Технічне</w:t>
      </w:r>
      <w:proofErr w:type="spellEnd"/>
      <w:r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>завдання</w:t>
      </w:r>
      <w:proofErr w:type="spellEnd"/>
      <w:r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 xml:space="preserve"> </w:t>
      </w:r>
    </w:p>
    <w:p w14:paraId="1AD9617C" w14:textId="34183627" w:rsidR="00ED6E68" w:rsidRDefault="00ED6E68" w:rsidP="00DC0FAD">
      <w:pPr>
        <w:ind w:firstLine="180"/>
        <w:jc w:val="center"/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</w:pPr>
      <w:r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 xml:space="preserve">для </w:t>
      </w:r>
      <w:proofErr w:type="spellStart"/>
      <w:r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>проведення</w:t>
      </w:r>
      <w:proofErr w:type="spellEnd"/>
      <w:r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>лабораторних</w:t>
      </w:r>
      <w:proofErr w:type="spellEnd"/>
      <w:r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>досліджень</w:t>
      </w:r>
      <w:proofErr w:type="spellEnd"/>
      <w:r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 xml:space="preserve"> в межах </w:t>
      </w:r>
      <w:proofErr w:type="spellStart"/>
      <w:r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>бюджетної</w:t>
      </w:r>
      <w:proofErr w:type="spellEnd"/>
      <w:r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>програми</w:t>
      </w:r>
      <w:proofErr w:type="spellEnd"/>
      <w:r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 xml:space="preserve"> КПКВК 0412040</w:t>
      </w:r>
      <w:r w:rsidR="00DC0FAD"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 xml:space="preserve"> за предметом</w:t>
      </w:r>
      <w:r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 xml:space="preserve"> «</w:t>
      </w:r>
      <w:proofErr w:type="spellStart"/>
      <w:r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>Проведення</w:t>
      </w:r>
      <w:proofErr w:type="spellEnd"/>
      <w:r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>лабораторних</w:t>
      </w:r>
      <w:proofErr w:type="spellEnd"/>
      <w:r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>досліджень</w:t>
      </w:r>
      <w:proofErr w:type="spellEnd"/>
      <w:r w:rsidR="00DC0FAD"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 xml:space="preserve"> </w:t>
      </w:r>
      <w:proofErr w:type="spellStart"/>
      <w:r w:rsidR="00DC0FAD"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>приладів</w:t>
      </w:r>
      <w:proofErr w:type="spellEnd"/>
      <w:r w:rsidR="00DC0FAD"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 xml:space="preserve"> </w:t>
      </w:r>
      <w:proofErr w:type="spellStart"/>
      <w:r w:rsidR="00DC0FAD"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>побутових</w:t>
      </w:r>
      <w:proofErr w:type="spellEnd"/>
      <w:r w:rsidR="00DC0FAD"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 xml:space="preserve"> </w:t>
      </w:r>
      <w:proofErr w:type="spellStart"/>
      <w:r w:rsidR="00DC0FAD"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>електричних</w:t>
      </w:r>
      <w:proofErr w:type="spellEnd"/>
      <w:r w:rsidR="00DC0FAD"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 xml:space="preserve">, </w:t>
      </w:r>
      <w:proofErr w:type="spellStart"/>
      <w:r w:rsidR="00DC0FAD"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>світлотехнічної</w:t>
      </w:r>
      <w:proofErr w:type="spellEnd"/>
      <w:r w:rsidR="00DC0FAD"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 xml:space="preserve"> </w:t>
      </w:r>
      <w:proofErr w:type="spellStart"/>
      <w:r w:rsidR="00DC0FAD"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>продукції</w:t>
      </w:r>
      <w:proofErr w:type="spellEnd"/>
      <w:r w:rsidR="00DC0FAD"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 xml:space="preserve">, ламп та </w:t>
      </w:r>
      <w:proofErr w:type="spellStart"/>
      <w:r w:rsidR="00DC0FAD"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>побутових</w:t>
      </w:r>
      <w:proofErr w:type="spellEnd"/>
      <w:r w:rsidR="00DC0FAD"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 xml:space="preserve"> ламп </w:t>
      </w:r>
      <w:proofErr w:type="spellStart"/>
      <w:r w:rsidR="00DC0FAD"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>неспрямованого</w:t>
      </w:r>
      <w:proofErr w:type="spellEnd"/>
      <w:r w:rsidR="00DC0FAD"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 xml:space="preserve"> </w:t>
      </w:r>
      <w:proofErr w:type="spellStart"/>
      <w:r w:rsidR="00DC0FAD"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>випромінення</w:t>
      </w:r>
      <w:proofErr w:type="spellEnd"/>
      <w:r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>під</w:t>
      </w:r>
      <w:proofErr w:type="spellEnd"/>
      <w:r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 xml:space="preserve"> час </w:t>
      </w:r>
      <w:proofErr w:type="spellStart"/>
      <w:r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>здійснення</w:t>
      </w:r>
      <w:proofErr w:type="spellEnd"/>
      <w:r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 xml:space="preserve"> державного контролю (</w:t>
      </w:r>
      <w:proofErr w:type="spellStart"/>
      <w:r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>нагляду</w:t>
      </w:r>
      <w:proofErr w:type="spellEnd"/>
      <w:r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 xml:space="preserve">) на 2024 </w:t>
      </w:r>
      <w:proofErr w:type="spellStart"/>
      <w:r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>рік</w:t>
      </w:r>
      <w:proofErr w:type="spellEnd"/>
      <w:r w:rsidR="004026C4"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>»</w:t>
      </w:r>
      <w:r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  <w:t xml:space="preserve"> </w:t>
      </w:r>
    </w:p>
    <w:p w14:paraId="42DE0F4B" w14:textId="5BFD92B3" w:rsidR="00DC0FAD" w:rsidRDefault="00DC0FAD" w:rsidP="00DC0FAD">
      <w:pPr>
        <w:ind w:firstLine="180"/>
        <w:jc w:val="center"/>
        <w:rPr>
          <w:rStyle w:val="1"/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val="ru-RU" w:eastAsia="en-US" w:bidi="ar-SA"/>
        </w:rPr>
      </w:pPr>
    </w:p>
    <w:p w14:paraId="29F1D0CB" w14:textId="6C63F95D" w:rsidR="00DC0FAD" w:rsidRPr="00DC0FAD" w:rsidRDefault="00DC0FAD" w:rsidP="00DC0FAD">
      <w:pPr>
        <w:jc w:val="center"/>
        <w:rPr>
          <w:rFonts w:ascii="Times New Roman" w:hAnsi="Times New Roman" w:cs="Times New Roman"/>
        </w:rPr>
      </w:pPr>
      <w:r w:rsidRPr="00DC0FAD">
        <w:rPr>
          <w:rFonts w:ascii="Times New Roman" w:hAnsi="Times New Roman" w:cs="Times New Roman"/>
        </w:rPr>
        <w:t>Класифікація за ДК 021:2015: 73110000-6 - Дослідницькі послуги</w:t>
      </w:r>
    </w:p>
    <w:p w14:paraId="03EF90CE" w14:textId="77777777" w:rsidR="00ED6E68" w:rsidRDefault="00ED6E68" w:rsidP="00ED6E68">
      <w:pPr>
        <w:pStyle w:val="10"/>
        <w:suppressAutoHyphens w:val="0"/>
        <w:autoSpaceDE w:val="0"/>
        <w:rPr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lang w:eastAsia="en-US" w:bidi="ar-SA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32"/>
        <w:gridCol w:w="6036"/>
      </w:tblGrid>
      <w:tr w:rsidR="00DC0FAD" w14:paraId="3FD91CFC" w14:textId="77777777" w:rsidTr="00DC0FAD"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DF3E" w14:textId="77777777" w:rsidR="00DC0FAD" w:rsidRDefault="00DC0FAD" w:rsidP="006A0E7F">
            <w:pPr>
              <w:pStyle w:val="10"/>
              <w:widowControl/>
              <w:suppressAutoHyphens w:val="0"/>
              <w:autoSpaceDE w:val="0"/>
            </w:pPr>
            <w:proofErr w:type="spellStart"/>
            <w:r>
              <w:rPr>
                <w:rStyle w:val="1"/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Зразки</w:t>
            </w:r>
            <w:proofErr w:type="spellEnd"/>
            <w:r>
              <w:rPr>
                <w:rStyle w:val="1"/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продукції</w:t>
            </w:r>
            <w:proofErr w:type="spellEnd"/>
            <w:r>
              <w:rPr>
                <w:rStyle w:val="1"/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 для </w:t>
            </w:r>
            <w:proofErr w:type="spellStart"/>
            <w:r>
              <w:rPr>
                <w:rStyle w:val="1"/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дослідження</w:t>
            </w:r>
            <w:proofErr w:type="spellEnd"/>
            <w:r>
              <w:rPr>
                <w:rStyle w:val="1"/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 та </w:t>
            </w:r>
            <w:proofErr w:type="spellStart"/>
            <w:r>
              <w:rPr>
                <w:rStyle w:val="1"/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види</w:t>
            </w:r>
            <w:proofErr w:type="spellEnd"/>
            <w:r>
              <w:rPr>
                <w:rStyle w:val="1"/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досліджень</w:t>
            </w:r>
            <w:proofErr w:type="spellEnd"/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B1C68" w14:textId="77777777" w:rsidR="00DC0FAD" w:rsidRDefault="00DC0FAD" w:rsidP="006A0E7F">
            <w:pPr>
              <w:pStyle w:val="10"/>
              <w:widowControl/>
              <w:suppressAutoHyphens w:val="0"/>
              <w:autoSpaceDE w:val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Кількість</w:t>
            </w:r>
            <w:proofErr w:type="spellEnd"/>
          </w:p>
          <w:p w14:paraId="54CDB55B" w14:textId="77777777" w:rsidR="00DC0FAD" w:rsidRDefault="00DC0FAD" w:rsidP="006A0E7F">
            <w:pPr>
              <w:pStyle w:val="10"/>
              <w:widowControl/>
              <w:suppressAutoHyphens w:val="0"/>
              <w:autoSpaceDE w:val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зразків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досліджень</w:t>
            </w:r>
            <w:proofErr w:type="spellEnd"/>
          </w:p>
        </w:tc>
      </w:tr>
      <w:tr w:rsidR="00ED6E68" w14:paraId="14D86A2B" w14:textId="77777777" w:rsidTr="00DC0FAD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9C9B0" w14:textId="78D21E46" w:rsidR="00ED6E68" w:rsidRDefault="00ED6E68" w:rsidP="006A0E7F">
            <w:pPr>
              <w:pStyle w:val="10"/>
              <w:widowControl/>
              <w:suppressAutoHyphens w:val="0"/>
              <w:autoSpaceDE w:val="0"/>
              <w:rPr>
                <w:rStyle w:val="1"/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Style w:val="1"/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Послуги</w:t>
            </w:r>
            <w:proofErr w:type="spellEnd"/>
            <w:r>
              <w:rPr>
                <w:rStyle w:val="1"/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 з </w:t>
            </w:r>
            <w:proofErr w:type="spellStart"/>
            <w:r>
              <w:rPr>
                <w:rStyle w:val="1"/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дослідження</w:t>
            </w:r>
            <w:proofErr w:type="spellEnd"/>
            <w:r>
              <w:rPr>
                <w:rStyle w:val="1"/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нехарчової</w:t>
            </w:r>
            <w:proofErr w:type="spellEnd"/>
            <w:r>
              <w:rPr>
                <w:rStyle w:val="1"/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продукції</w:t>
            </w:r>
            <w:proofErr w:type="spellEnd"/>
            <w:r>
              <w:rPr>
                <w:rStyle w:val="1"/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Style w:val="1"/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– «Прилади </w:t>
            </w:r>
            <w:proofErr w:type="spellStart"/>
            <w:r>
              <w:rPr>
                <w:rStyle w:val="1"/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>побvтові</w:t>
            </w:r>
            <w:proofErr w:type="spellEnd"/>
            <w:r>
              <w:rPr>
                <w:rStyle w:val="1"/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 електричні, світлотехнічна продукція, лампи» </w:t>
            </w:r>
          </w:p>
          <w:p w14:paraId="4EFB2C1E" w14:textId="77777777" w:rsidR="00ED6E68" w:rsidRPr="00B43305" w:rsidRDefault="00ED6E68" w:rsidP="006A0E7F">
            <w:pPr>
              <w:pStyle w:val="10"/>
              <w:widowControl/>
              <w:suppressAutoHyphens w:val="0"/>
              <w:autoSpaceDE w:val="0"/>
            </w:pPr>
          </w:p>
        </w:tc>
      </w:tr>
      <w:tr w:rsidR="00DC0FAD" w14:paraId="12C3C6D2" w14:textId="77777777" w:rsidTr="00DC0FAD"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DC358" w14:textId="77777777" w:rsidR="00DC0FAD" w:rsidRDefault="00DC0FAD" w:rsidP="006A0E7F">
            <w:pPr>
              <w:pStyle w:val="10"/>
              <w:widowControl/>
              <w:suppressAutoHyphens w:val="0"/>
              <w:autoSpaceDE w:val="0"/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Прилади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 w:bidi="ar-SA"/>
              </w:rPr>
              <w:t>побvтові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електричні, світлотехнічна продукція, лампи:</w:t>
            </w:r>
          </w:p>
          <w:p w14:paraId="06EBEB00" w14:textId="77777777" w:rsidR="00DC0FAD" w:rsidRDefault="00DC0FAD" w:rsidP="006A0E7F">
            <w:pPr>
              <w:pStyle w:val="10"/>
              <w:widowControl/>
              <w:suppressAutoHyphens w:val="0"/>
              <w:autoSpaceDE w:val="0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Маркування та інструкції.</w:t>
            </w:r>
          </w:p>
          <w:p w14:paraId="23A32549" w14:textId="77777777" w:rsidR="00DC0FAD" w:rsidRDefault="00DC0FAD" w:rsidP="006A0E7F">
            <w:pPr>
              <w:pStyle w:val="10"/>
              <w:widowControl/>
              <w:suppressAutoHyphens w:val="0"/>
              <w:autoSpaceDE w:val="0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Захист від небезпек, що можуть виникнути внаслідок використання електрообладнання.</w:t>
            </w:r>
          </w:p>
          <w:p w14:paraId="44DA2388" w14:textId="77777777" w:rsidR="00DC0FAD" w:rsidRDefault="00DC0FAD" w:rsidP="006A0E7F">
            <w:pPr>
              <w:pStyle w:val="10"/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F337" w14:textId="77777777" w:rsidR="00DC0FAD" w:rsidRDefault="00DC0FAD" w:rsidP="006A0E7F">
            <w:pPr>
              <w:pStyle w:val="10"/>
              <w:widowControl/>
              <w:suppressAutoHyphens w:val="0"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</w:tr>
      <w:tr w:rsidR="00DC0FAD" w14:paraId="14DE31E8" w14:textId="77777777" w:rsidTr="00DC0FAD"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F3350" w14:textId="77777777" w:rsidR="00DC0FAD" w:rsidRDefault="00DC0FAD" w:rsidP="006A0E7F">
            <w:pPr>
              <w:pStyle w:val="10"/>
              <w:widowControl/>
              <w:suppressAutoHyphens w:val="0"/>
              <w:autoSpaceDE w:val="0"/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Прилади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 w:bidi="ar-SA"/>
              </w:rPr>
              <w:t>побvтові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 w:bidi="ar-SA"/>
              </w:rPr>
              <w:t xml:space="preserve"> електричні, світлотехнічна продукція, лампи:</w:t>
            </w:r>
          </w:p>
          <w:p w14:paraId="0B5079C7" w14:textId="77777777" w:rsidR="00DC0FAD" w:rsidRDefault="00DC0FAD" w:rsidP="006A0E7F">
            <w:pPr>
              <w:pStyle w:val="10"/>
              <w:widowControl/>
              <w:suppressAutoHyphens w:val="0"/>
              <w:autoSpaceDE w:val="0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Рівень створюваних електромагнітних завад.</w:t>
            </w:r>
          </w:p>
          <w:p w14:paraId="295C888F" w14:textId="77777777" w:rsidR="00DC0FAD" w:rsidRDefault="00DC0FAD" w:rsidP="006A0E7F">
            <w:pPr>
              <w:pStyle w:val="10"/>
              <w:widowControl/>
              <w:suppressAutoHyphens w:val="0"/>
              <w:autoSpaceDE w:val="0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en-US" w:bidi="ar-SA"/>
              </w:rPr>
              <w:t>Завадостійкість до дії електромагнітних завад.</w:t>
            </w:r>
          </w:p>
          <w:p w14:paraId="5DEF9171" w14:textId="77777777" w:rsidR="00DC0FAD" w:rsidRDefault="00DC0FAD" w:rsidP="006A0E7F">
            <w:pPr>
              <w:pStyle w:val="10"/>
              <w:widowControl/>
              <w:suppressAutoHyphens w:val="0"/>
              <w:autoSpaceDE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B7E6E" w14:textId="77777777" w:rsidR="00DC0FAD" w:rsidRDefault="00DC0FAD" w:rsidP="006A0E7F">
            <w:pPr>
              <w:pStyle w:val="10"/>
              <w:widowControl/>
              <w:suppressAutoHyphens w:val="0"/>
              <w:autoSpaceDE w:val="0"/>
              <w:jc w:val="center"/>
            </w:pPr>
            <w:r>
              <w:t>3</w:t>
            </w:r>
          </w:p>
        </w:tc>
      </w:tr>
      <w:tr w:rsidR="00ED6E68" w14:paraId="465D3658" w14:textId="77777777" w:rsidTr="00DC0FAD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C5D20" w14:textId="72967B46" w:rsidR="00ED6E68" w:rsidRPr="00B43305" w:rsidRDefault="00ED6E68" w:rsidP="00DC0FAD">
            <w:pPr>
              <w:pStyle w:val="10"/>
              <w:widowControl/>
              <w:suppressAutoHyphens w:val="0"/>
              <w:autoSpaceDE w:val="0"/>
              <w:rPr>
                <w:b/>
                <w:bCs/>
              </w:rPr>
            </w:pPr>
            <w:proofErr w:type="spellStart"/>
            <w:r>
              <w:rPr>
                <w:rStyle w:val="1"/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Послуги</w:t>
            </w:r>
            <w:proofErr w:type="spellEnd"/>
            <w:r>
              <w:rPr>
                <w:rStyle w:val="1"/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 з </w:t>
            </w:r>
            <w:proofErr w:type="spellStart"/>
            <w:r>
              <w:rPr>
                <w:rStyle w:val="1"/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дослідження</w:t>
            </w:r>
            <w:proofErr w:type="spellEnd"/>
            <w:r>
              <w:rPr>
                <w:rStyle w:val="1"/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нехарчової</w:t>
            </w:r>
            <w:proofErr w:type="spellEnd"/>
            <w:r>
              <w:rPr>
                <w:rStyle w:val="1"/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продукції</w:t>
            </w:r>
            <w:proofErr w:type="spellEnd"/>
            <w:r>
              <w:rPr>
                <w:rStyle w:val="1"/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Style w:val="1"/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eastAsia="en-US" w:bidi="ar-SA"/>
              </w:rPr>
              <w:t xml:space="preserve">– «Побутові лампи неспрямованого випромінення» </w:t>
            </w:r>
          </w:p>
        </w:tc>
      </w:tr>
      <w:tr w:rsidR="00DC0FAD" w14:paraId="3008CC82" w14:textId="77777777" w:rsidTr="00DC0FAD"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A9DC6" w14:textId="77777777" w:rsidR="00DC0FAD" w:rsidRPr="00B43305" w:rsidRDefault="00DC0FAD" w:rsidP="006A0E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087B">
              <w:rPr>
                <w:rFonts w:ascii="Times New Roman" w:hAnsi="Times New Roman" w:cs="Times New Roman"/>
                <w:sz w:val="22"/>
                <w:szCs w:val="22"/>
              </w:rPr>
              <w:t>Випромінювання ефективності  споживання електроенергії (середній світловий потік та середня потужність для компактних люмінесцентних ламп та ламп розжарювання)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35334" w14:textId="77777777" w:rsidR="00DC0FAD" w:rsidRDefault="00DC0FAD" w:rsidP="006A0E7F">
            <w:pPr>
              <w:pStyle w:val="10"/>
              <w:widowControl/>
              <w:suppressAutoHyphens w:val="0"/>
              <w:autoSpaceDE w:val="0"/>
              <w:jc w:val="center"/>
            </w:pPr>
            <w:r>
              <w:t>3</w:t>
            </w:r>
          </w:p>
        </w:tc>
      </w:tr>
      <w:tr w:rsidR="00DC0FAD" w14:paraId="361F9FCF" w14:textId="77777777" w:rsidTr="00DC0FAD"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A6DB1" w14:textId="77777777" w:rsidR="00DC0FAD" w:rsidRDefault="00DC0FAD" w:rsidP="006A0E7F">
            <w:pPr>
              <w:pStyle w:val="10"/>
              <w:widowControl/>
              <w:suppressAutoHyphens w:val="0"/>
              <w:autoSpaceDE w:val="0"/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2"/>
                <w:szCs w:val="22"/>
                <w:lang w:val="en-US" w:eastAsia="en-US" w:bidi="ar-SA"/>
              </w:rPr>
              <w:t>ВСЬОГО: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F10AB" w14:textId="77777777" w:rsidR="00DC0FAD" w:rsidRPr="0004087B" w:rsidRDefault="00DC0FAD" w:rsidP="006A0E7F">
            <w:pPr>
              <w:pStyle w:val="10"/>
              <w:widowControl/>
              <w:suppressAutoHyphens w:val="0"/>
              <w:autoSpaceDE w:val="0"/>
              <w:jc w:val="center"/>
              <w:rPr>
                <w:b/>
                <w:bCs/>
              </w:rPr>
            </w:pPr>
            <w:r w:rsidRPr="0004087B">
              <w:rPr>
                <w:b/>
                <w:bCs/>
              </w:rPr>
              <w:t>10</w:t>
            </w:r>
          </w:p>
        </w:tc>
      </w:tr>
    </w:tbl>
    <w:p w14:paraId="093D009D" w14:textId="58644007" w:rsidR="00460124" w:rsidRDefault="00460124" w:rsidP="00460124">
      <w:pPr>
        <w:keepNext/>
        <w:keepLines/>
        <w:autoSpaceDN w:val="0"/>
        <w:spacing w:before="78"/>
        <w:ind w:left="143" w:firstLine="708"/>
        <w:textAlignment w:val="baseline"/>
        <w:outlineLvl w:val="0"/>
        <w:rPr>
          <w:rFonts w:ascii="Times New Roman" w:hAnsi="Times New Roman" w:cs="Times New Roman"/>
          <w:b/>
          <w:bCs/>
          <w:color w:val="00000A"/>
          <w:kern w:val="3"/>
        </w:rPr>
      </w:pPr>
      <w:r>
        <w:rPr>
          <w:rFonts w:ascii="Times New Roman" w:hAnsi="Times New Roman" w:cs="Times New Roman"/>
          <w:b/>
          <w:bCs/>
          <w:color w:val="00000A"/>
          <w:kern w:val="3"/>
        </w:rPr>
        <w:t>Вимоги до лабораторій:</w:t>
      </w:r>
    </w:p>
    <w:p w14:paraId="044D3DF6" w14:textId="77777777" w:rsidR="00460124" w:rsidRDefault="00460124" w:rsidP="004601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25"/>
        </w:tabs>
        <w:autoSpaceDN w:val="0"/>
        <w:spacing w:after="200" w:line="244" w:lineRule="auto"/>
        <w:ind w:left="0" w:right="437" w:firstLine="851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en-US"/>
        </w:rPr>
      </w:pPr>
      <w:r>
        <w:rPr>
          <w:rFonts w:ascii="Times New Roman" w:eastAsia="Times New Roman" w:hAnsi="Times New Roman" w:cs="Times New Roman"/>
          <w:color w:val="00000A"/>
          <w:kern w:val="3"/>
          <w:lang w:eastAsia="en-US"/>
        </w:rPr>
        <w:t xml:space="preserve">Випробувальна лабораторія повинна бути акредитована на відповідність вимогам ДСТУ EN ISO/IEC 17025:2019 «Загальні вимоги до компетентності випробувальних та калібрувальних лабораторій»  за стандартами, які поширюються на продукцію, що перевіряється </w:t>
      </w:r>
      <w:r>
        <w:rPr>
          <w:rFonts w:ascii="Times New Roman" w:eastAsia="Times New Roman" w:hAnsi="Times New Roman" w:cs="Times New Roman"/>
          <w:b/>
          <w:color w:val="00000A"/>
          <w:kern w:val="3"/>
          <w:lang w:eastAsia="en-US"/>
        </w:rPr>
        <w:t>(надати завірену копію Атестату про акредитацію відповідно до вимог ДСТУ EN ISO/IEC 17025:2019 з із сферою акредитації).</w:t>
      </w:r>
    </w:p>
    <w:p w14:paraId="224EBF51" w14:textId="77777777" w:rsidR="00460124" w:rsidRDefault="00460124" w:rsidP="004601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25"/>
        </w:tabs>
        <w:autoSpaceDN w:val="0"/>
        <w:spacing w:after="200" w:line="244" w:lineRule="auto"/>
        <w:ind w:left="0" w:right="437"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lang w:eastAsia="en-US"/>
        </w:rPr>
      </w:pPr>
      <w:r>
        <w:rPr>
          <w:rFonts w:ascii="Times New Roman" w:eastAsia="Times New Roman" w:hAnsi="Times New Roman" w:cs="Times New Roman"/>
          <w:color w:val="00000A"/>
          <w:kern w:val="3"/>
          <w:lang w:eastAsia="en-US"/>
        </w:rPr>
        <w:t xml:space="preserve">Випробувальна лабораторія повинна входити до складу органу з оцінки відповідності, включеного до Реєстру ООВ, призначених </w:t>
      </w:r>
      <w:proofErr w:type="spellStart"/>
      <w:r>
        <w:rPr>
          <w:rFonts w:ascii="Times New Roman" w:eastAsia="Times New Roman" w:hAnsi="Times New Roman" w:cs="Times New Roman"/>
          <w:color w:val="00000A"/>
          <w:kern w:val="3"/>
          <w:lang w:eastAsia="en-US"/>
        </w:rPr>
        <w:t>Мінекономрозвитку</w:t>
      </w:r>
      <w:proofErr w:type="spellEnd"/>
      <w:r>
        <w:rPr>
          <w:rFonts w:ascii="Times New Roman" w:eastAsia="Times New Roman" w:hAnsi="Times New Roman" w:cs="Times New Roman"/>
          <w:color w:val="00000A"/>
          <w:kern w:val="3"/>
          <w:lang w:eastAsia="en-US"/>
        </w:rPr>
        <w:t xml:space="preserve"> України на виконання робіт з оцінки відповідності продукції, що перевіряється, вимогам технічних регламентів (</w:t>
      </w:r>
      <w:r>
        <w:rPr>
          <w:rFonts w:ascii="Times New Roman" w:eastAsia="Times New Roman" w:hAnsi="Times New Roman" w:cs="Times New Roman"/>
          <w:b/>
          <w:color w:val="00000A"/>
          <w:kern w:val="3"/>
          <w:lang w:eastAsia="en-US"/>
        </w:rPr>
        <w:t>надати завірену копію витягу з реєстру ООВ).</w:t>
      </w:r>
    </w:p>
    <w:p w14:paraId="420E3BB3" w14:textId="77777777" w:rsidR="00460124" w:rsidRDefault="00460124" w:rsidP="004601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25"/>
        </w:tabs>
        <w:autoSpaceDN w:val="0"/>
        <w:spacing w:after="200" w:line="244" w:lineRule="auto"/>
        <w:ind w:left="0" w:right="437"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lang w:eastAsia="en-US"/>
        </w:rPr>
      </w:pPr>
      <w:r>
        <w:rPr>
          <w:rFonts w:ascii="Times New Roman" w:eastAsia="Times New Roman" w:hAnsi="Times New Roman" w:cs="Times New Roman"/>
          <w:color w:val="00000A"/>
          <w:kern w:val="3"/>
          <w:lang w:eastAsia="en-US"/>
        </w:rPr>
        <w:t xml:space="preserve">Сфера акредитації випробувальної лабораторії повинна надавити можливість в повній мірі визначити показники продукції, визначені цим Технічним завданням. </w:t>
      </w:r>
      <w:r>
        <w:rPr>
          <w:rFonts w:ascii="Times New Roman" w:eastAsia="Times New Roman" w:hAnsi="Times New Roman" w:cs="Times New Roman"/>
          <w:b/>
          <w:color w:val="00000A"/>
          <w:kern w:val="3"/>
          <w:lang w:eastAsia="en-US"/>
        </w:rPr>
        <w:t>(надати чинний атестат акредитації лабораторії учасника з додатками, які визначають відповідну сферу акредитації для зразків продукції, визначених цією документацією.)</w:t>
      </w:r>
    </w:p>
    <w:p w14:paraId="3715217D" w14:textId="18F942C8" w:rsidR="00460124" w:rsidRDefault="00460124" w:rsidP="004601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25"/>
        </w:tabs>
        <w:autoSpaceDN w:val="0"/>
        <w:spacing w:after="200" w:line="244" w:lineRule="auto"/>
        <w:ind w:left="0" w:right="437" w:firstLine="851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en-US"/>
        </w:rPr>
      </w:pPr>
      <w:r>
        <w:rPr>
          <w:rFonts w:ascii="Times New Roman" w:eastAsia="Times New Roman" w:hAnsi="Times New Roman" w:cs="Times New Roman"/>
          <w:color w:val="00000A"/>
          <w:kern w:val="3"/>
          <w:lang w:eastAsia="en-US"/>
        </w:rPr>
        <w:lastRenderedPageBreak/>
        <w:t>Відповідно до частини 7 статті 27 Закону України «Про державний ринковий нагляд і контроль нехарчової продукції» термін дослідження не може перевищувати тридцяти робочих днів з дня прийняття рішення про її проведення. Цей строк може бути більшим у разі, якщо методикою проведення експертизи (випробування) зразків продукції передбачено більш тривалий час для її проведення (</w:t>
      </w:r>
      <w:r>
        <w:rPr>
          <w:rFonts w:ascii="Times New Roman" w:eastAsia="Times New Roman" w:hAnsi="Times New Roman" w:cs="Times New Roman"/>
          <w:b/>
          <w:color w:val="00000A"/>
          <w:kern w:val="3"/>
          <w:lang w:eastAsia="en-US"/>
        </w:rPr>
        <w:t>надати гарантійний лист про можливість виконання випробувань протягом не більше 20 робочих днів після надання зразків на випробування</w:t>
      </w:r>
      <w:r>
        <w:rPr>
          <w:rFonts w:ascii="Times New Roman" w:eastAsia="Times New Roman" w:hAnsi="Times New Roman" w:cs="Times New Roman"/>
          <w:color w:val="00000A"/>
          <w:kern w:val="3"/>
          <w:lang w:eastAsia="en-US"/>
        </w:rPr>
        <w:t>).</w:t>
      </w:r>
    </w:p>
    <w:p w14:paraId="40B27B9F" w14:textId="2D83BE43" w:rsidR="00460124" w:rsidRDefault="00460124" w:rsidP="004601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25"/>
        </w:tabs>
        <w:autoSpaceDN w:val="0"/>
        <w:spacing w:after="200" w:line="244" w:lineRule="auto"/>
        <w:ind w:left="0" w:right="437" w:firstLine="851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en-US"/>
        </w:rPr>
      </w:pPr>
      <w:bookmarkStart w:id="0" w:name="_Hlk163130848"/>
      <w:r>
        <w:rPr>
          <w:rFonts w:ascii="Times New Roman" w:eastAsia="Times New Roman" w:hAnsi="Times New Roman" w:cs="Times New Roman"/>
          <w:color w:val="00000A"/>
          <w:kern w:val="3"/>
          <w:lang w:eastAsia="en-US"/>
        </w:rPr>
        <w:t xml:space="preserve">За результатами досліджень Виконавцем надається протокол випробувань з висновком щодо відповідності (невідповідності) встановленим вимогам стандартів які включені до Переліків національних стандартів, які застосовуються для цілей Технічних регламентів </w:t>
      </w:r>
      <w:bookmarkEnd w:id="0"/>
      <w:r>
        <w:rPr>
          <w:rFonts w:ascii="Times New Roman" w:eastAsia="Times New Roman" w:hAnsi="Times New Roman" w:cs="Times New Roman"/>
          <w:color w:val="00000A"/>
          <w:kern w:val="3"/>
          <w:lang w:eastAsia="en-US"/>
        </w:rPr>
        <w:t>(</w:t>
      </w:r>
      <w:r>
        <w:rPr>
          <w:rFonts w:ascii="Times New Roman" w:eastAsia="Times New Roman" w:hAnsi="Times New Roman" w:cs="Times New Roman"/>
          <w:b/>
          <w:color w:val="00000A"/>
          <w:kern w:val="3"/>
          <w:lang w:eastAsia="en-US"/>
        </w:rPr>
        <w:t>надати гарантійний лист</w:t>
      </w:r>
      <w:r>
        <w:rPr>
          <w:rFonts w:ascii="Times New Roman" w:eastAsia="Times New Roman" w:hAnsi="Times New Roman" w:cs="Times New Roman"/>
          <w:color w:val="00000A"/>
          <w:kern w:val="3"/>
          <w:lang w:eastAsia="en-US"/>
        </w:rPr>
        <w:t xml:space="preserve">). </w:t>
      </w:r>
    </w:p>
    <w:p w14:paraId="1A3D59FB" w14:textId="651DAA14" w:rsidR="00460124" w:rsidRDefault="00460124" w:rsidP="0046012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25"/>
        </w:tabs>
        <w:autoSpaceDN w:val="0"/>
        <w:spacing w:after="200" w:line="244" w:lineRule="auto"/>
        <w:ind w:left="0" w:right="437" w:firstLine="851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en-US"/>
        </w:rPr>
      </w:pPr>
      <w:bookmarkStart w:id="1" w:name="_Hlk163130906"/>
      <w:r>
        <w:rPr>
          <w:rFonts w:ascii="Times New Roman" w:eastAsia="Times New Roman" w:hAnsi="Times New Roman" w:cs="Times New Roman"/>
          <w:color w:val="00000A"/>
          <w:kern w:val="3"/>
          <w:lang w:eastAsia="en-US"/>
        </w:rPr>
        <w:t>Відповідно до Порядку реалізації та знищення використаних під час проведення експертизи (випробування) зразків нехарчової продукції, що були відібрані в межах здійснення державного ринкового нагляду, затвердженого Постановою KMY від 26 грудня 2011 року N 1406 «Питання реалізації та знищення використаних під час проведення експертизи (випробування) зразків нехарчової продукції, що були відібрані в межах здійснення державного ринкового нагляду», Виконавець в обов'язковому порядку встановлює значення коефіцієнта зносу використаної продукції внаслідок проведення експертизи (випробування) (далі- коефіцієнта зносу (</w:t>
      </w:r>
      <w:proofErr w:type="spellStart"/>
      <w:r>
        <w:rPr>
          <w:rFonts w:ascii="Times New Roman" w:eastAsia="Times New Roman" w:hAnsi="Times New Roman" w:cs="Times New Roman"/>
          <w:color w:val="00000A"/>
          <w:kern w:val="3"/>
          <w:lang w:eastAsia="en-US"/>
        </w:rPr>
        <w:t>Кзн</w:t>
      </w:r>
      <w:proofErr w:type="spellEnd"/>
      <w:r>
        <w:rPr>
          <w:rFonts w:ascii="Times New Roman" w:eastAsia="Times New Roman" w:hAnsi="Times New Roman" w:cs="Times New Roman"/>
          <w:color w:val="00000A"/>
          <w:kern w:val="3"/>
          <w:lang w:eastAsia="en-US"/>
        </w:rPr>
        <w:t xml:space="preserve">), за винятком зразків продукції, що є небезпечними, становлять ризик та/або не відповідають встановленим вимогам щодо </w:t>
      </w:r>
      <w:proofErr w:type="spellStart"/>
      <w:r>
        <w:rPr>
          <w:rFonts w:ascii="Times New Roman" w:eastAsia="Times New Roman" w:hAnsi="Times New Roman" w:cs="Times New Roman"/>
          <w:color w:val="00000A"/>
          <w:kern w:val="3"/>
          <w:lang w:eastAsia="en-US"/>
        </w:rPr>
        <w:t>ïx</w:t>
      </w:r>
      <w:proofErr w:type="spellEnd"/>
      <w:r>
        <w:rPr>
          <w:rFonts w:ascii="Times New Roman" w:eastAsia="Times New Roman" w:hAnsi="Times New Roman" w:cs="Times New Roman"/>
          <w:color w:val="00000A"/>
          <w:kern w:val="3"/>
          <w:lang w:eastAsia="en-US"/>
        </w:rPr>
        <w:t xml:space="preserve"> безпечності, та разом з протоколом випробувань надають довідку про значення коефіцієнта зносу, для визначення залишкової вартості використаного зразка продукції </w:t>
      </w:r>
      <w:bookmarkEnd w:id="1"/>
      <w:r>
        <w:rPr>
          <w:rFonts w:ascii="Times New Roman" w:eastAsia="Times New Roman" w:hAnsi="Times New Roman" w:cs="Times New Roman"/>
          <w:color w:val="00000A"/>
          <w:kern w:val="3"/>
          <w:lang w:eastAsia="en-US"/>
        </w:rPr>
        <w:t>(</w:t>
      </w:r>
      <w:r>
        <w:rPr>
          <w:rFonts w:ascii="Times New Roman" w:eastAsia="Times New Roman" w:hAnsi="Times New Roman" w:cs="Times New Roman"/>
          <w:b/>
          <w:color w:val="00000A"/>
          <w:kern w:val="3"/>
          <w:lang w:eastAsia="en-US"/>
        </w:rPr>
        <w:t>надати гарантійний лист</w:t>
      </w:r>
      <w:r>
        <w:rPr>
          <w:rFonts w:ascii="Times New Roman" w:eastAsia="Times New Roman" w:hAnsi="Times New Roman" w:cs="Times New Roman"/>
          <w:color w:val="00000A"/>
          <w:kern w:val="3"/>
          <w:lang w:eastAsia="en-US"/>
        </w:rPr>
        <w:t>).</w:t>
      </w:r>
    </w:p>
    <w:p w14:paraId="61376382" w14:textId="77777777" w:rsidR="00460124" w:rsidRDefault="00460124" w:rsidP="00460124">
      <w:pPr>
        <w:tabs>
          <w:tab w:val="left" w:pos="604"/>
        </w:tabs>
        <w:autoSpaceDN w:val="0"/>
        <w:spacing w:before="8" w:line="244" w:lineRule="auto"/>
        <w:ind w:right="435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en-US"/>
        </w:rPr>
      </w:pPr>
      <w:r>
        <w:rPr>
          <w:rFonts w:ascii="Times New Roman" w:eastAsia="Times New Roman" w:hAnsi="Times New Roman" w:cs="Times New Roman"/>
          <w:color w:val="00000A"/>
          <w:kern w:val="3"/>
          <w:lang w:eastAsia="en-US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lang w:eastAsia="en-US"/>
        </w:rPr>
        <w:tab/>
      </w:r>
    </w:p>
    <w:p w14:paraId="24F16C83" w14:textId="77777777" w:rsidR="00460124" w:rsidRDefault="00460124" w:rsidP="00460124">
      <w:pPr>
        <w:rPr>
          <w:rFonts w:ascii="Times New Roman" w:eastAsia="Times New Roman" w:hAnsi="Times New Roman" w:cs="Times New Roman"/>
          <w:color w:val="auto"/>
          <w:lang w:eastAsia="uk-UA"/>
        </w:rPr>
      </w:pPr>
    </w:p>
    <w:p w14:paraId="5CDCA1D9" w14:textId="77777777" w:rsidR="00460124" w:rsidRDefault="00460124" w:rsidP="00460124"/>
    <w:p w14:paraId="5A605563" w14:textId="77777777" w:rsidR="002F7C24" w:rsidRDefault="002F7C24"/>
    <w:sectPr w:rsidR="002F7C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23153"/>
    <w:multiLevelType w:val="multilevel"/>
    <w:tmpl w:val="80C81182"/>
    <w:styleLink w:val="WWNum1"/>
    <w:lvl w:ilvl="0">
      <w:start w:val="1"/>
      <w:numFmt w:val="decimal"/>
      <w:lvlText w:val="%1."/>
      <w:lvlJc w:val="left"/>
      <w:pPr>
        <w:ind w:left="536" w:hanging="536"/>
      </w:pPr>
      <w:rPr>
        <w:rFonts w:eastAsia="Times New Roman" w:cs="Times New Roman"/>
        <w:spacing w:val="-26"/>
        <w:w w:val="100"/>
        <w:sz w:val="28"/>
        <w:szCs w:val="28"/>
      </w:rPr>
    </w:lvl>
    <w:lvl w:ilvl="1">
      <w:numFmt w:val="bullet"/>
      <w:lvlText w:val="•"/>
      <w:lvlJc w:val="left"/>
      <w:pPr>
        <w:ind w:left="1528" w:hanging="536"/>
      </w:pPr>
    </w:lvl>
    <w:lvl w:ilvl="2">
      <w:numFmt w:val="bullet"/>
      <w:lvlText w:val="•"/>
      <w:lvlJc w:val="left"/>
      <w:pPr>
        <w:ind w:left="2522" w:hanging="536"/>
      </w:pPr>
    </w:lvl>
    <w:lvl w:ilvl="3">
      <w:numFmt w:val="bullet"/>
      <w:lvlText w:val="•"/>
      <w:lvlJc w:val="left"/>
      <w:pPr>
        <w:ind w:left="3516" w:hanging="536"/>
      </w:pPr>
    </w:lvl>
    <w:lvl w:ilvl="4">
      <w:numFmt w:val="bullet"/>
      <w:lvlText w:val="•"/>
      <w:lvlJc w:val="left"/>
      <w:pPr>
        <w:ind w:left="4510" w:hanging="536"/>
      </w:pPr>
    </w:lvl>
    <w:lvl w:ilvl="5">
      <w:numFmt w:val="bullet"/>
      <w:lvlText w:val="•"/>
      <w:lvlJc w:val="left"/>
      <w:pPr>
        <w:ind w:left="5504" w:hanging="536"/>
      </w:pPr>
    </w:lvl>
    <w:lvl w:ilvl="6">
      <w:numFmt w:val="bullet"/>
      <w:lvlText w:val="•"/>
      <w:lvlJc w:val="left"/>
      <w:pPr>
        <w:ind w:left="6498" w:hanging="536"/>
      </w:pPr>
    </w:lvl>
    <w:lvl w:ilvl="7">
      <w:numFmt w:val="bullet"/>
      <w:lvlText w:val="•"/>
      <w:lvlJc w:val="left"/>
      <w:pPr>
        <w:ind w:left="7492" w:hanging="536"/>
      </w:pPr>
    </w:lvl>
    <w:lvl w:ilvl="8">
      <w:numFmt w:val="bullet"/>
      <w:lvlText w:val="•"/>
      <w:lvlJc w:val="left"/>
      <w:pPr>
        <w:ind w:left="8486" w:hanging="536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 w:cs="Times New Roman"/>
          <w:spacing w:val="-26"/>
          <w:w w:val="100"/>
          <w:sz w:val="28"/>
          <w:szCs w:val="28"/>
        </w:rPr>
      </w:lvl>
    </w:lvlOverride>
    <w:lvlOverride w:ilvl="1">
      <w:lvl w:ilvl="1"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21"/>
    <w:rsid w:val="002F7C24"/>
    <w:rsid w:val="004026C4"/>
    <w:rsid w:val="00460124"/>
    <w:rsid w:val="009359BE"/>
    <w:rsid w:val="00A01193"/>
    <w:rsid w:val="00B81321"/>
    <w:rsid w:val="00DC0FAD"/>
    <w:rsid w:val="00ED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47DF"/>
  <w15:chartTrackingRefBased/>
  <w15:docId w15:val="{1FB746A3-216A-4821-B706-1E3626BE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E6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D6E68"/>
  </w:style>
  <w:style w:type="paragraph" w:customStyle="1" w:styleId="10">
    <w:name w:val="Обычный1"/>
    <w:rsid w:val="00ED6E6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numbering" w:customStyle="1" w:styleId="WWNum1">
    <w:name w:val="WWNum1"/>
    <w:rsid w:val="0046012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2519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2024-04-03T07:12:00Z</dcterms:created>
  <dcterms:modified xsi:type="dcterms:W3CDTF">2024-04-04T12:13:00Z</dcterms:modified>
</cp:coreProperties>
</file>