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42E" w:rsidRPr="00D55A38" w:rsidRDefault="008D44AE" w:rsidP="00E86A7B">
      <w:pPr>
        <w:jc w:val="right"/>
        <w:rPr>
          <w:rFonts w:ascii="Times New Roman" w:hAnsi="Times New Roman"/>
          <w:b/>
          <w:color w:val="000000"/>
        </w:rPr>
      </w:pPr>
      <w:r>
        <w:rPr>
          <w:rFonts w:ascii="Times New Roman" w:hAnsi="Times New Roman"/>
          <w:b/>
          <w:color w:val="000000"/>
          <w:lang w:val="uk-UA"/>
        </w:rPr>
        <w:t>ДОДАТОК </w:t>
      </w:r>
      <w:r w:rsidRPr="00D55A38">
        <w:rPr>
          <w:rFonts w:ascii="Times New Roman" w:hAnsi="Times New Roman"/>
          <w:b/>
          <w:color w:val="000000"/>
        </w:rPr>
        <w:t>4</w:t>
      </w:r>
    </w:p>
    <w:p w:rsidR="0061242E" w:rsidRPr="00791830" w:rsidRDefault="0061242E" w:rsidP="00E86A7B">
      <w:pPr>
        <w:jc w:val="center"/>
        <w:rPr>
          <w:rFonts w:ascii="Times New Roman" w:hAnsi="Times New Roman"/>
          <w:b/>
          <w:color w:val="000000"/>
          <w:sz w:val="28"/>
          <w:szCs w:val="28"/>
          <w:lang w:val="uk-UA"/>
        </w:rPr>
      </w:pPr>
      <w:r w:rsidRPr="00791830">
        <w:rPr>
          <w:rFonts w:ascii="Times New Roman" w:hAnsi="Times New Roman"/>
          <w:b/>
          <w:color w:val="000000"/>
          <w:sz w:val="24"/>
          <w:szCs w:val="28"/>
          <w:lang w:val="uk-UA"/>
        </w:rPr>
        <w:t>ПЕРЕЛІК ДОКУМЕНТІВ, НЕОБХІДНИХ ДЛЯ УЧАСТІ У ЗАКУПІВЛІ</w:t>
      </w:r>
    </w:p>
    <w:p w:rsidR="0061242E" w:rsidRPr="00791830" w:rsidRDefault="0061242E" w:rsidP="00E86A7B">
      <w:pPr>
        <w:jc w:val="center"/>
        <w:rPr>
          <w:rFonts w:ascii="Times New Roman" w:hAnsi="Times New Roman"/>
          <w:b/>
          <w:color w:val="000000"/>
          <w:sz w:val="20"/>
          <w:u w:val="single"/>
          <w:lang w:val="uk-UA"/>
        </w:rPr>
      </w:pPr>
      <w:r w:rsidRPr="00791830">
        <w:rPr>
          <w:rFonts w:ascii="Times New Roman" w:hAnsi="Times New Roman"/>
          <w:b/>
          <w:color w:val="000000"/>
          <w:sz w:val="20"/>
          <w:u w:val="single"/>
          <w:lang w:val="uk-UA"/>
        </w:rPr>
        <w:t>ДОКУМЕНТИ, ЩО ПОДАЮТЬСЯ УЧАСНИКОМ</w:t>
      </w:r>
    </w:p>
    <w:p w:rsidR="0061242E" w:rsidRPr="00791830" w:rsidRDefault="0061242E" w:rsidP="00E86A7B">
      <w:pPr>
        <w:jc w:val="center"/>
        <w:rPr>
          <w:rFonts w:ascii="Times New Roman" w:hAnsi="Times New Roman"/>
          <w:b/>
          <w:i/>
          <w:color w:val="000000"/>
        </w:rPr>
      </w:pPr>
      <w:proofErr w:type="spellStart"/>
      <w:r w:rsidRPr="00791830">
        <w:rPr>
          <w:rFonts w:ascii="Times New Roman" w:hAnsi="Times New Roman"/>
          <w:b/>
          <w:i/>
          <w:color w:val="000000"/>
        </w:rPr>
        <w:t>Перелік</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документів</w:t>
      </w:r>
      <w:proofErr w:type="spellEnd"/>
      <w:r w:rsidRPr="00791830">
        <w:rPr>
          <w:rFonts w:ascii="Times New Roman" w:hAnsi="Times New Roman"/>
          <w:b/>
          <w:i/>
          <w:color w:val="000000"/>
        </w:rPr>
        <w:t xml:space="preserve"> для </w:t>
      </w:r>
      <w:proofErr w:type="spellStart"/>
      <w:r w:rsidRPr="00791830">
        <w:rPr>
          <w:rFonts w:ascii="Times New Roman" w:hAnsi="Times New Roman"/>
          <w:b/>
          <w:i/>
          <w:color w:val="000000"/>
        </w:rPr>
        <w:t>підтвердження</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відповідності</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учасника</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вимогам</w:t>
      </w:r>
      <w:proofErr w:type="spellEnd"/>
      <w:r w:rsidRPr="00791830">
        <w:rPr>
          <w:rFonts w:ascii="Times New Roman" w:hAnsi="Times New Roman"/>
          <w:b/>
          <w:i/>
          <w:color w:val="000000"/>
        </w:rPr>
        <w:t xml:space="preserve">, </w:t>
      </w:r>
      <w:proofErr w:type="spellStart"/>
      <w:r w:rsidRPr="00791830">
        <w:rPr>
          <w:rFonts w:ascii="Times New Roman" w:hAnsi="Times New Roman"/>
          <w:b/>
          <w:i/>
          <w:color w:val="000000"/>
        </w:rPr>
        <w:t>визначеним</w:t>
      </w:r>
      <w:proofErr w:type="spellEnd"/>
      <w:r w:rsidRPr="00791830">
        <w:rPr>
          <w:rFonts w:ascii="Times New Roman" w:hAnsi="Times New Roman"/>
          <w:b/>
          <w:i/>
          <w:color w:val="000000"/>
        </w:rPr>
        <w:t xml:space="preserve"> у </w:t>
      </w:r>
      <w:proofErr w:type="spellStart"/>
      <w:r w:rsidRPr="00791830">
        <w:rPr>
          <w:rFonts w:ascii="Times New Roman" w:hAnsi="Times New Roman"/>
          <w:b/>
          <w:i/>
          <w:color w:val="000000"/>
        </w:rPr>
        <w:t>статті</w:t>
      </w:r>
      <w:proofErr w:type="spellEnd"/>
      <w:r w:rsidRPr="00791830">
        <w:rPr>
          <w:rFonts w:ascii="Times New Roman" w:hAnsi="Times New Roman"/>
          <w:b/>
          <w:i/>
          <w:color w:val="000000"/>
        </w:rPr>
        <w:t xml:space="preserve"> 16 Закону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024"/>
        <w:gridCol w:w="6884"/>
      </w:tblGrid>
      <w:tr w:rsidR="0061242E" w:rsidRPr="00791830" w:rsidTr="00E86A7B">
        <w:tc>
          <w:tcPr>
            <w:tcW w:w="552"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 п/п</w:t>
            </w:r>
          </w:p>
        </w:tc>
        <w:tc>
          <w:tcPr>
            <w:tcW w:w="3024"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Кваліфікаційні критерії</w:t>
            </w:r>
          </w:p>
        </w:tc>
        <w:tc>
          <w:tcPr>
            <w:tcW w:w="6884" w:type="dxa"/>
          </w:tcPr>
          <w:p w:rsidR="0061242E" w:rsidRPr="00791830" w:rsidRDefault="0061242E" w:rsidP="00E86A7B">
            <w:pPr>
              <w:rPr>
                <w:rFonts w:ascii="Times New Roman" w:hAnsi="Times New Roman"/>
                <w:b/>
                <w:color w:val="000000"/>
                <w:sz w:val="20"/>
                <w:szCs w:val="20"/>
                <w:lang w:val="uk-UA"/>
              </w:rPr>
            </w:pPr>
            <w:r w:rsidRPr="00791830">
              <w:rPr>
                <w:rFonts w:ascii="Times New Roman" w:hAnsi="Times New Roman"/>
                <w:b/>
                <w:color w:val="000000"/>
                <w:sz w:val="20"/>
                <w:szCs w:val="20"/>
                <w:lang w:val="uk-UA"/>
              </w:rPr>
              <w:t>Учасник на виконання вимог статті 16 Закону повинен надати, інформацію викладену нижче</w:t>
            </w:r>
          </w:p>
        </w:tc>
      </w:tr>
      <w:tr w:rsidR="0061242E" w:rsidRPr="00791830" w:rsidTr="00E86A7B">
        <w:tc>
          <w:tcPr>
            <w:tcW w:w="552" w:type="dxa"/>
          </w:tcPr>
          <w:p w:rsidR="0061242E" w:rsidRPr="00791830" w:rsidRDefault="0061242E" w:rsidP="0019520D">
            <w:pPr>
              <w:rPr>
                <w:rFonts w:ascii="Times New Roman" w:hAnsi="Times New Roman"/>
                <w:color w:val="000000"/>
                <w:sz w:val="21"/>
                <w:szCs w:val="21"/>
                <w:lang w:val="uk-UA"/>
              </w:rPr>
            </w:pPr>
            <w:r w:rsidRPr="00791830">
              <w:rPr>
                <w:rFonts w:ascii="Times New Roman" w:hAnsi="Times New Roman"/>
                <w:color w:val="000000"/>
                <w:sz w:val="21"/>
                <w:szCs w:val="21"/>
                <w:lang w:val="uk-UA"/>
              </w:rPr>
              <w:t>1</w:t>
            </w:r>
          </w:p>
        </w:tc>
        <w:tc>
          <w:tcPr>
            <w:tcW w:w="3024" w:type="dxa"/>
          </w:tcPr>
          <w:p w:rsidR="0061242E" w:rsidRPr="00791830" w:rsidRDefault="0061242E" w:rsidP="0019520D">
            <w:pPr>
              <w:rPr>
                <w:rFonts w:ascii="Times New Roman" w:hAnsi="Times New Roman"/>
                <w:color w:val="000000"/>
                <w:sz w:val="20"/>
                <w:szCs w:val="20"/>
                <w:lang w:val="uk-UA"/>
              </w:rPr>
            </w:pPr>
            <w:r w:rsidRPr="00791830">
              <w:rPr>
                <w:rFonts w:ascii="Times New Roman" w:hAnsi="Times New Roman"/>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84" w:type="dxa"/>
          </w:tcPr>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Довідка в електронному вигляді в довільній формі, за підписом уповноваженої посадової особи Учасника про досвід виконання аналогічних договорів або договорів, що виконуються, на постачання товару, який є предметом закупівлі (вказати не менше як 1 (один) договір), в якій зазначається наступна інформація: найменування Замовників, їх адреси та контактні номери телефонів, назва товару, який є предметом закупівлі.</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Аналогічним вважається Договір з постачання товару, який є предметом закупівлі.</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Також Учаснику в складі своєї тендерної пропозиції необхідно надати:</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договір (-и), зазначений(-ні) в довідці;</w:t>
            </w:r>
          </w:p>
          <w:p w:rsidR="0061242E" w:rsidRPr="00791830" w:rsidRDefault="0061242E" w:rsidP="00E86A7B">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документи, що підтверджують факт поставки аналогічного товару, по договору(-</w:t>
            </w:r>
            <w:proofErr w:type="spellStart"/>
            <w:r w:rsidRPr="00791830">
              <w:rPr>
                <w:rFonts w:ascii="Times New Roman" w:hAnsi="Times New Roman"/>
                <w:color w:val="000000"/>
                <w:sz w:val="20"/>
                <w:szCs w:val="20"/>
                <w:lang w:val="uk-UA"/>
              </w:rPr>
              <w:t>ам</w:t>
            </w:r>
            <w:proofErr w:type="spellEnd"/>
            <w:r w:rsidRPr="00791830">
              <w:rPr>
                <w:rFonts w:ascii="Times New Roman" w:hAnsi="Times New Roman"/>
                <w:color w:val="000000"/>
                <w:sz w:val="20"/>
                <w:szCs w:val="20"/>
                <w:lang w:val="uk-UA"/>
              </w:rPr>
              <w:t>) зазначеному(-</w:t>
            </w:r>
            <w:proofErr w:type="spellStart"/>
            <w:r w:rsidRPr="00791830">
              <w:rPr>
                <w:rFonts w:ascii="Times New Roman" w:hAnsi="Times New Roman"/>
                <w:color w:val="000000"/>
                <w:sz w:val="20"/>
                <w:szCs w:val="20"/>
                <w:lang w:val="uk-UA"/>
              </w:rPr>
              <w:t>их</w:t>
            </w:r>
            <w:proofErr w:type="spellEnd"/>
            <w:r w:rsidRPr="00791830">
              <w:rPr>
                <w:rFonts w:ascii="Times New Roman" w:hAnsi="Times New Roman"/>
                <w:color w:val="000000"/>
                <w:sz w:val="20"/>
                <w:szCs w:val="20"/>
                <w:lang w:val="uk-UA"/>
              </w:rPr>
              <w:t>) в довідці (копії видаткових накладних та/або актів приймання-передачі товару) (крім відомостей, що становлять комерційну таємницю);</w:t>
            </w:r>
          </w:p>
          <w:p w:rsidR="0061242E" w:rsidRPr="00791830" w:rsidRDefault="0061242E" w:rsidP="00844E27">
            <w:pPr>
              <w:spacing w:after="0"/>
              <w:jc w:val="both"/>
              <w:rPr>
                <w:rFonts w:ascii="Times New Roman" w:hAnsi="Times New Roman"/>
                <w:color w:val="000000"/>
                <w:sz w:val="20"/>
                <w:szCs w:val="20"/>
                <w:lang w:val="uk-UA"/>
              </w:rPr>
            </w:pPr>
            <w:r w:rsidRPr="00791830">
              <w:rPr>
                <w:rFonts w:ascii="Times New Roman" w:hAnsi="Times New Roman"/>
                <w:color w:val="000000"/>
                <w:sz w:val="20"/>
                <w:szCs w:val="20"/>
                <w:lang w:val="uk-UA"/>
              </w:rPr>
              <w:t>- позитивний лист-відгук щодо постачання товару від контрагента</w:t>
            </w:r>
            <w:r w:rsidR="00844E27">
              <w:rPr>
                <w:rFonts w:ascii="Times New Roman" w:hAnsi="Times New Roman"/>
                <w:color w:val="000000"/>
                <w:sz w:val="20"/>
                <w:szCs w:val="20"/>
                <w:lang w:val="uk-UA"/>
              </w:rPr>
              <w:t xml:space="preserve"> </w:t>
            </w:r>
            <w:r w:rsidRPr="00791830">
              <w:rPr>
                <w:rFonts w:ascii="Times New Roman" w:hAnsi="Times New Roman"/>
                <w:color w:val="000000"/>
                <w:sz w:val="20"/>
                <w:szCs w:val="20"/>
                <w:lang w:val="uk-UA"/>
              </w:rPr>
              <w:t xml:space="preserve">завірений підписом та печаткою (у разі її використання), з яким було укладено аналогічний договір. У відгуку повинно бути зазначено вихідний номер та дата видачі листа-відгуку, номер та дата укладеного договору, предмет договору, сума договору, обсяги поставки, строк дії договору та інформація щодо фактів виявлення або </w:t>
            </w:r>
            <w:proofErr w:type="spellStart"/>
            <w:r w:rsidRPr="00791830">
              <w:rPr>
                <w:rFonts w:ascii="Times New Roman" w:hAnsi="Times New Roman"/>
                <w:color w:val="000000"/>
                <w:sz w:val="20"/>
                <w:szCs w:val="20"/>
                <w:lang w:val="uk-UA"/>
              </w:rPr>
              <w:t>невиявлення</w:t>
            </w:r>
            <w:proofErr w:type="spellEnd"/>
            <w:r w:rsidRPr="00791830">
              <w:rPr>
                <w:rFonts w:ascii="Times New Roman" w:hAnsi="Times New Roman"/>
                <w:color w:val="000000"/>
                <w:sz w:val="20"/>
                <w:szCs w:val="20"/>
                <w:lang w:val="uk-UA"/>
              </w:rPr>
              <w:t xml:space="preserve"> недоліків щодо якості та строків виконання договору.</w:t>
            </w:r>
          </w:p>
        </w:tc>
      </w:tr>
    </w:tbl>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
        <w:gridCol w:w="9770"/>
      </w:tblGrid>
      <w:tr w:rsidR="0061242E" w:rsidRPr="0056152C" w:rsidTr="00E86A7B">
        <w:tc>
          <w:tcPr>
            <w:tcW w:w="10456" w:type="dxa"/>
            <w:gridSpan w:val="2"/>
            <w:shd w:val="pct12" w:color="auto" w:fill="auto"/>
          </w:tcPr>
          <w:p w:rsidR="0061242E" w:rsidRPr="0056152C" w:rsidRDefault="0061242E" w:rsidP="00E86A7B">
            <w:pPr>
              <w:jc w:val="center"/>
              <w:rPr>
                <w:rFonts w:ascii="Times New Roman" w:hAnsi="Times New Roman"/>
                <w:b/>
                <w:color w:val="000000"/>
                <w:sz w:val="20"/>
                <w:szCs w:val="20"/>
                <w:lang w:val="uk-UA"/>
              </w:rPr>
            </w:pPr>
            <w:r w:rsidRPr="0056152C">
              <w:rPr>
                <w:rFonts w:ascii="Times New Roman" w:hAnsi="Times New Roman"/>
                <w:b/>
                <w:color w:val="000000"/>
                <w:sz w:val="20"/>
                <w:szCs w:val="20"/>
                <w:lang w:val="uk-UA"/>
              </w:rPr>
              <w:lastRenderedPageBreak/>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1</w:t>
            </w:r>
            <w:r w:rsidR="0061242E" w:rsidRPr="0056152C">
              <w:rPr>
                <w:rFonts w:ascii="Times New Roman" w:hAnsi="Times New Roman"/>
                <w:b/>
                <w:color w:val="000000"/>
                <w:sz w:val="20"/>
                <w:szCs w:val="20"/>
                <w:lang w:val="uk-UA"/>
              </w:rPr>
              <w:t>.</w:t>
            </w:r>
          </w:p>
        </w:tc>
        <w:tc>
          <w:tcPr>
            <w:tcW w:w="9770" w:type="dxa"/>
          </w:tcPr>
          <w:p w:rsidR="0061242E" w:rsidRPr="0056152C" w:rsidRDefault="0061242E" w:rsidP="00E86A7B">
            <w:pPr>
              <w:jc w:val="both"/>
              <w:rPr>
                <w:rFonts w:ascii="Times New Roman" w:hAnsi="Times New Roman"/>
                <w:color w:val="000000"/>
                <w:sz w:val="20"/>
                <w:szCs w:val="20"/>
                <w:lang w:val="uk-UA"/>
              </w:rPr>
            </w:pPr>
            <w:r w:rsidRPr="0056152C">
              <w:rPr>
                <w:rFonts w:ascii="Times New Roman" w:hAnsi="Times New Roman"/>
                <w:color w:val="000000"/>
                <w:sz w:val="20"/>
                <w:szCs w:val="20"/>
                <w:lang w:val="uk-UA"/>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rsidR="0061242E" w:rsidRPr="0056152C" w:rsidRDefault="0061242E" w:rsidP="00E86A7B">
            <w:pPr>
              <w:jc w:val="both"/>
              <w:rPr>
                <w:rFonts w:ascii="Times New Roman" w:hAnsi="Times New Roman"/>
                <w:b/>
                <w:i/>
                <w:color w:val="000000"/>
                <w:sz w:val="20"/>
                <w:szCs w:val="20"/>
                <w:lang w:val="uk-UA"/>
              </w:rPr>
            </w:pPr>
            <w:r w:rsidRPr="0056152C">
              <w:rPr>
                <w:rFonts w:ascii="Times New Roman" w:hAnsi="Times New Roman"/>
                <w:i/>
                <w:color w:val="000000"/>
                <w:sz w:val="20"/>
                <w:szCs w:val="20"/>
                <w:lang w:val="uk-UA"/>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56152C">
              <w:rPr>
                <w:rFonts w:ascii="Times New Roman" w:hAnsi="Times New Roman"/>
                <w:i/>
                <w:color w:val="000000"/>
                <w:sz w:val="20"/>
                <w:szCs w:val="20"/>
                <w:u w:val="single"/>
                <w:lang w:val="uk-UA"/>
              </w:rPr>
              <w:t>особа, яку уповноважено під час проведення процедури закупівлі підписувати (завіряти) документи тендерної пропозиції</w:t>
            </w:r>
            <w:r w:rsidRPr="0056152C">
              <w:rPr>
                <w:rFonts w:ascii="Times New Roman" w:hAnsi="Times New Roman"/>
                <w:i/>
                <w:color w:val="000000"/>
                <w:sz w:val="20"/>
                <w:szCs w:val="20"/>
                <w:lang w:val="uk-UA"/>
              </w:rPr>
              <w:t xml:space="preserve">, подається </w:t>
            </w:r>
            <w:r w:rsidRPr="0056152C">
              <w:rPr>
                <w:rFonts w:ascii="Times New Roman" w:hAnsi="Times New Roman"/>
                <w:i/>
                <w:color w:val="000000"/>
                <w:sz w:val="20"/>
                <w:szCs w:val="20"/>
                <w:u w:val="single"/>
                <w:lang w:val="uk-UA"/>
              </w:rPr>
              <w:t>довіреність (доручення)</w:t>
            </w:r>
            <w:r w:rsidRPr="0056152C">
              <w:rPr>
                <w:rFonts w:ascii="Times New Roman" w:hAnsi="Times New Roman"/>
                <w:i/>
                <w:color w:val="000000"/>
                <w:sz w:val="20"/>
                <w:szCs w:val="20"/>
                <w:lang w:val="uk-UA"/>
              </w:rPr>
              <w:t xml:space="preserve"> на цю особу учасника про надання повноважень цій особі підписувати (завіряти) документи тендерної пропозиції</w:t>
            </w:r>
          </w:p>
        </w:tc>
      </w:tr>
      <w:tr w:rsidR="0061242E" w:rsidRPr="0056152C" w:rsidTr="00E86A7B">
        <w:tc>
          <w:tcPr>
            <w:tcW w:w="10456" w:type="dxa"/>
            <w:gridSpan w:val="2"/>
            <w:shd w:val="pct12" w:color="auto" w:fill="auto"/>
          </w:tcPr>
          <w:p w:rsidR="0061242E" w:rsidRPr="0056152C" w:rsidRDefault="0061242E" w:rsidP="00E86A7B">
            <w:pPr>
              <w:jc w:val="center"/>
              <w:rPr>
                <w:rFonts w:ascii="Times New Roman" w:hAnsi="Times New Roman"/>
                <w:b/>
                <w:color w:val="000000"/>
                <w:sz w:val="20"/>
                <w:szCs w:val="20"/>
                <w:lang w:val="uk-UA"/>
              </w:rPr>
            </w:pPr>
            <w:r w:rsidRPr="0056152C">
              <w:rPr>
                <w:rFonts w:ascii="Times New Roman" w:hAnsi="Times New Roman"/>
                <w:b/>
                <w:color w:val="000000"/>
                <w:sz w:val="20"/>
                <w:szCs w:val="20"/>
                <w:lang w:val="uk-UA"/>
              </w:rPr>
              <w:t>Інші документи, що має надати учасник</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1</w:t>
            </w:r>
          </w:p>
        </w:tc>
        <w:tc>
          <w:tcPr>
            <w:tcW w:w="9770" w:type="dxa"/>
          </w:tcPr>
          <w:p w:rsidR="0061242E" w:rsidRPr="0056152C" w:rsidRDefault="0061242E" w:rsidP="00E86A7B">
            <w:pPr>
              <w:jc w:val="both"/>
              <w:rPr>
                <w:rFonts w:ascii="Times New Roman" w:hAnsi="Times New Roman"/>
                <w:color w:val="000000"/>
                <w:sz w:val="20"/>
                <w:szCs w:val="20"/>
                <w:lang w:val="uk-UA"/>
              </w:rPr>
            </w:pPr>
            <w:r w:rsidRPr="0056152C">
              <w:rPr>
                <w:rFonts w:ascii="Times New Roman" w:hAnsi="Times New Roman"/>
                <w:color w:val="000000"/>
                <w:sz w:val="20"/>
                <w:szCs w:val="20"/>
                <w:lang w:val="uk-UA"/>
              </w:rPr>
              <w:t>Копія витягу, або копія виписки з Єдиного державного реєстру юридичних осіб та фізичних осіб-підприємців.</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2</w:t>
            </w:r>
          </w:p>
        </w:tc>
        <w:tc>
          <w:tcPr>
            <w:tcW w:w="9770" w:type="dxa"/>
          </w:tcPr>
          <w:p w:rsidR="0061242E" w:rsidRPr="0056152C" w:rsidRDefault="0061242E" w:rsidP="00E86A7B">
            <w:pPr>
              <w:jc w:val="both"/>
              <w:rPr>
                <w:rFonts w:ascii="Times New Roman" w:hAnsi="Times New Roman"/>
                <w:color w:val="000000"/>
                <w:sz w:val="20"/>
                <w:szCs w:val="20"/>
                <w:lang w:val="uk-UA"/>
              </w:rPr>
            </w:pPr>
            <w:r w:rsidRPr="0056152C">
              <w:rPr>
                <w:rFonts w:ascii="Times New Roman" w:hAnsi="Times New Roman"/>
                <w:color w:val="000000"/>
                <w:sz w:val="20"/>
                <w:szCs w:val="20"/>
                <w:lang w:val="uk-UA"/>
              </w:rPr>
              <w:t>Копія статуту або іншого установчого документу.</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3</w:t>
            </w:r>
          </w:p>
        </w:tc>
        <w:tc>
          <w:tcPr>
            <w:tcW w:w="9770" w:type="dxa"/>
          </w:tcPr>
          <w:p w:rsidR="0061242E" w:rsidRPr="0056152C" w:rsidRDefault="0061242E" w:rsidP="00E86A7B">
            <w:pPr>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Копія паспорту та довідки про присвоєння ідентифікаційного номера, завірені підписом Учасника </w:t>
            </w:r>
            <w:r w:rsidRPr="0056152C">
              <w:rPr>
                <w:rFonts w:ascii="Times New Roman" w:hAnsi="Times New Roman"/>
                <w:i/>
                <w:color w:val="000000"/>
                <w:sz w:val="20"/>
                <w:szCs w:val="20"/>
                <w:lang w:val="uk-UA"/>
              </w:rPr>
              <w:t>(для Учасника – фізичної особи)</w:t>
            </w:r>
            <w:r w:rsidRPr="0056152C">
              <w:rPr>
                <w:rFonts w:ascii="Times New Roman" w:hAnsi="Times New Roman"/>
                <w:color w:val="000000"/>
                <w:sz w:val="20"/>
                <w:szCs w:val="20"/>
                <w:lang w:val="uk-UA"/>
              </w:rPr>
              <w:t>.</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4</w:t>
            </w:r>
          </w:p>
        </w:tc>
        <w:tc>
          <w:tcPr>
            <w:tcW w:w="9770" w:type="dxa"/>
          </w:tcPr>
          <w:p w:rsidR="0061242E" w:rsidRPr="0056152C" w:rsidRDefault="0061242E" w:rsidP="00E86A7B">
            <w:pPr>
              <w:jc w:val="both"/>
              <w:rPr>
                <w:rFonts w:ascii="Times New Roman" w:hAnsi="Times New Roman"/>
                <w:i/>
                <w:color w:val="000000"/>
                <w:sz w:val="20"/>
                <w:szCs w:val="20"/>
                <w:lang w:val="uk-UA"/>
              </w:rPr>
            </w:pPr>
            <w:r w:rsidRPr="0056152C">
              <w:rPr>
                <w:rFonts w:ascii="Times New Roman" w:hAnsi="Times New Roman"/>
                <w:color w:val="000000"/>
                <w:sz w:val="20"/>
                <w:szCs w:val="20"/>
                <w:lang w:val="uk-UA"/>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56152C">
              <w:rPr>
                <w:rFonts w:ascii="Times New Roman" w:hAnsi="Times New Roman"/>
                <w:i/>
                <w:color w:val="000000"/>
                <w:sz w:val="20"/>
                <w:szCs w:val="20"/>
                <w:lang w:val="uk-UA"/>
              </w:rPr>
              <w:t>(для платників ПДВ)</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5</w:t>
            </w:r>
          </w:p>
        </w:tc>
        <w:tc>
          <w:tcPr>
            <w:tcW w:w="9770" w:type="dxa"/>
          </w:tcPr>
          <w:p w:rsidR="0061242E" w:rsidRPr="0056152C" w:rsidRDefault="0061242E" w:rsidP="00E86A7B">
            <w:pPr>
              <w:jc w:val="both"/>
              <w:rPr>
                <w:rFonts w:ascii="Times New Roman" w:hAnsi="Times New Roman"/>
                <w:color w:val="000000"/>
                <w:sz w:val="20"/>
                <w:szCs w:val="20"/>
                <w:lang w:val="uk-UA"/>
              </w:rPr>
            </w:pPr>
            <w:r w:rsidRPr="0056152C">
              <w:rPr>
                <w:rFonts w:ascii="Times New Roman" w:hAnsi="Times New Roman"/>
                <w:color w:val="000000"/>
                <w:sz w:val="20"/>
                <w:szCs w:val="20"/>
                <w:lang w:val="uk-UA"/>
              </w:rPr>
              <w:t>Копія свідоцтва платника єдиного податку або копія Витягу з реєстру платників єдиного податку (</w:t>
            </w:r>
            <w:r w:rsidRPr="0056152C">
              <w:rPr>
                <w:rFonts w:ascii="Times New Roman" w:hAnsi="Times New Roman"/>
                <w:i/>
                <w:iCs/>
                <w:color w:val="000000"/>
                <w:sz w:val="20"/>
                <w:szCs w:val="20"/>
                <w:lang w:val="uk-UA"/>
              </w:rPr>
              <w:t>для платників єдиного податку</w:t>
            </w:r>
            <w:r w:rsidRPr="0056152C">
              <w:rPr>
                <w:rFonts w:ascii="Times New Roman" w:hAnsi="Times New Roman"/>
                <w:color w:val="000000"/>
                <w:sz w:val="20"/>
                <w:szCs w:val="20"/>
                <w:lang w:val="uk-UA"/>
              </w:rPr>
              <w:t>)</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6</w:t>
            </w:r>
          </w:p>
        </w:tc>
        <w:tc>
          <w:tcPr>
            <w:tcW w:w="9770" w:type="dxa"/>
          </w:tcPr>
          <w:p w:rsidR="0061242E" w:rsidRPr="0056152C" w:rsidRDefault="0061242E" w:rsidP="00E86A7B">
            <w:pPr>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Довідка/Інформація </w:t>
            </w:r>
            <w:r w:rsidRPr="0056152C">
              <w:rPr>
                <w:rFonts w:ascii="Times New Roman" w:hAnsi="Times New Roman"/>
                <w:bCs/>
                <w:i/>
                <w:iCs/>
                <w:color w:val="000000"/>
                <w:sz w:val="20"/>
                <w:szCs w:val="20"/>
                <w:lang w:val="uk-UA"/>
              </w:rPr>
              <w:t>(в довільній формі)</w:t>
            </w:r>
            <w:r w:rsidRPr="0056152C">
              <w:rPr>
                <w:rFonts w:ascii="Times New Roman" w:hAnsi="Times New Roman"/>
                <w:color w:val="000000"/>
                <w:sz w:val="20"/>
                <w:szCs w:val="20"/>
                <w:bdr w:val="none" w:sz="0" w:space="0" w:color="auto" w:frame="1"/>
                <w:lang w:val="uk-UA"/>
              </w:rPr>
              <w:t>щодо дотримання учасником вимог чинного законодавства  із захисту довкілля.</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7</w:t>
            </w:r>
          </w:p>
        </w:tc>
        <w:tc>
          <w:tcPr>
            <w:tcW w:w="9770" w:type="dxa"/>
          </w:tcPr>
          <w:p w:rsidR="0061242E" w:rsidRPr="0056152C" w:rsidRDefault="0061242E" w:rsidP="00E86A7B">
            <w:pPr>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Довідка/Інформація </w:t>
            </w:r>
            <w:r w:rsidRPr="0056152C">
              <w:rPr>
                <w:rFonts w:ascii="Times New Roman" w:hAnsi="Times New Roman"/>
                <w:bCs/>
                <w:i/>
                <w:iCs/>
                <w:color w:val="000000"/>
                <w:sz w:val="20"/>
                <w:szCs w:val="20"/>
                <w:lang w:val="uk-UA"/>
              </w:rPr>
              <w:t xml:space="preserve">(в довільній формі) </w:t>
            </w:r>
            <w:r w:rsidRPr="0056152C">
              <w:rPr>
                <w:rFonts w:ascii="Times New Roman" w:hAnsi="Times New Roman"/>
                <w:bCs/>
                <w:iCs/>
                <w:color w:val="000000"/>
                <w:sz w:val="20"/>
                <w:szCs w:val="20"/>
                <w:lang w:val="uk-UA"/>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8</w:t>
            </w:r>
          </w:p>
        </w:tc>
        <w:tc>
          <w:tcPr>
            <w:tcW w:w="9770" w:type="dxa"/>
          </w:tcPr>
          <w:p w:rsidR="00461EE9" w:rsidRPr="0056152C" w:rsidRDefault="0061242E" w:rsidP="00461EE9">
            <w:pPr>
              <w:widowControl w:val="0"/>
              <w:spacing w:after="0"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Учасник повинен надати інформацію щодо дотримання вимог пункту 3.1.5 Правил роздрібного ринку електричної енергії, затверджених постановою НКРЕКП від 14.03.2018.3,29 р. №312, зокрема надання до Національної комісії, що здійснює державне регулювання у сферах енергетики та комунальних послуг, з посилання на </w:t>
            </w:r>
            <w:proofErr w:type="spellStart"/>
            <w:r w:rsidRPr="0056152C">
              <w:rPr>
                <w:rFonts w:ascii="Times New Roman" w:hAnsi="Times New Roman"/>
                <w:color w:val="000000"/>
                <w:sz w:val="20"/>
                <w:szCs w:val="20"/>
                <w:lang w:val="uk-UA"/>
              </w:rPr>
              <w:t>вебсторінки</w:t>
            </w:r>
            <w:proofErr w:type="spellEnd"/>
            <w:r w:rsidRPr="0056152C">
              <w:rPr>
                <w:rFonts w:ascii="Times New Roman" w:hAnsi="Times New Roman"/>
                <w:color w:val="000000"/>
                <w:sz w:val="20"/>
                <w:szCs w:val="20"/>
                <w:lang w:val="uk-UA"/>
              </w:rPr>
              <w:t>, на яких розміщено перелік публічних комерційних пропозицій та обов’язковим розміщення їх на сайті НКРЕКП, або надати таку інформацію в довільній формі.</w:t>
            </w:r>
          </w:p>
          <w:p w:rsidR="0061242E" w:rsidRPr="0056152C" w:rsidRDefault="00461EE9" w:rsidP="00461EE9">
            <w:pPr>
              <w:widowControl w:val="0"/>
              <w:spacing w:after="0"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 </w:t>
            </w:r>
            <w:r w:rsidR="0061242E" w:rsidRPr="0056152C">
              <w:rPr>
                <w:rFonts w:ascii="Times New Roman" w:hAnsi="Times New Roman"/>
                <w:color w:val="000000"/>
                <w:sz w:val="20"/>
                <w:szCs w:val="20"/>
                <w:lang w:val="uk-UA"/>
              </w:rPr>
              <w:t>Учасник повинен надати інформацію про наявність власного офіційного веб-сайту в мережі Інтернет з описом та підтвердженням його відповідності вимогам підпункту 14, підпункту 15, пункту 5.2.2. розділу 5.2. Правил роздрібного ринку електричної енергії (постанова НКРЕ КП від 14.03.2018 року № 312)</w:t>
            </w:r>
          </w:p>
          <w:p w:rsidR="00791830" w:rsidRPr="0056152C" w:rsidRDefault="0061242E" w:rsidP="00791830">
            <w:pPr>
              <w:spacing w:after="0"/>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Підтвердити довідкою у довільній </w:t>
            </w:r>
            <w:r w:rsidR="00844E27" w:rsidRPr="0056152C">
              <w:rPr>
                <w:rFonts w:ascii="Times New Roman" w:hAnsi="Times New Roman"/>
                <w:color w:val="000000"/>
                <w:sz w:val="20"/>
                <w:szCs w:val="20"/>
                <w:lang w:val="uk-UA"/>
              </w:rPr>
              <w:t>формі  наявність на території України</w:t>
            </w:r>
            <w:r w:rsidRPr="0056152C">
              <w:rPr>
                <w:rFonts w:ascii="Times New Roman" w:hAnsi="Times New Roman"/>
                <w:color w:val="000000"/>
                <w:sz w:val="20"/>
                <w:szCs w:val="20"/>
                <w:lang w:val="uk-UA"/>
              </w:rPr>
              <w:t xml:space="preserve"> власного структурного підрозділу - Центру обслуговування споживачів (клієнтів), згідно з вимогами «Правил роздрібного ринку електричної енергії», затверджених Постановою НКРЕКП від 14.03.2018 № 312,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Учасники для яких створення центрів обслуговування споживачів (клієнтів) не є обов’язковим, надають довідку про наявність власного окремого структурного підрозділу на</w:t>
            </w:r>
            <w:r w:rsidR="00D55A38" w:rsidRPr="0056152C">
              <w:rPr>
                <w:rFonts w:ascii="Times New Roman" w:hAnsi="Times New Roman"/>
                <w:color w:val="000000"/>
                <w:sz w:val="20"/>
                <w:szCs w:val="20"/>
                <w:lang w:val="uk-UA"/>
              </w:rPr>
              <w:t xml:space="preserve"> території </w:t>
            </w:r>
            <w:r w:rsidR="00844E27" w:rsidRPr="0056152C">
              <w:rPr>
                <w:rFonts w:ascii="Times New Roman" w:hAnsi="Times New Roman"/>
                <w:color w:val="000000"/>
                <w:sz w:val="20"/>
                <w:szCs w:val="20"/>
                <w:lang w:val="uk-UA"/>
              </w:rPr>
              <w:t>України</w:t>
            </w:r>
            <w:r w:rsidRPr="0056152C">
              <w:rPr>
                <w:rFonts w:ascii="Times New Roman" w:hAnsi="Times New Roman"/>
                <w:color w:val="000000"/>
                <w:sz w:val="20"/>
                <w:szCs w:val="20"/>
                <w:lang w:val="uk-UA"/>
              </w:rPr>
              <w:t xml:space="preserve"> або посадової особи, </w:t>
            </w:r>
            <w:r w:rsidR="00D55A38" w:rsidRPr="0056152C">
              <w:rPr>
                <w:rFonts w:ascii="Times New Roman" w:hAnsi="Times New Roman"/>
                <w:color w:val="000000"/>
                <w:sz w:val="20"/>
                <w:szCs w:val="20"/>
                <w:lang w:val="uk-UA"/>
              </w:rPr>
              <w:t xml:space="preserve">з робочим місцем на території </w:t>
            </w:r>
            <w:r w:rsidR="00844E27" w:rsidRPr="0056152C">
              <w:rPr>
                <w:rFonts w:ascii="Times New Roman" w:hAnsi="Times New Roman"/>
                <w:color w:val="000000"/>
                <w:sz w:val="20"/>
                <w:szCs w:val="20"/>
                <w:lang w:val="uk-UA"/>
              </w:rPr>
              <w:t>України</w:t>
            </w:r>
            <w:r w:rsidRPr="0056152C">
              <w:rPr>
                <w:rFonts w:ascii="Times New Roman" w:hAnsi="Times New Roman"/>
                <w:color w:val="000000"/>
                <w:sz w:val="20"/>
                <w:szCs w:val="20"/>
                <w:lang w:val="uk-UA"/>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791830" w:rsidRPr="0056152C">
              <w:rPr>
                <w:rFonts w:ascii="Times New Roman" w:hAnsi="Times New Roman"/>
                <w:color w:val="000000"/>
                <w:sz w:val="20"/>
                <w:szCs w:val="20"/>
                <w:lang w:val="uk-UA"/>
              </w:rPr>
              <w:t>.</w:t>
            </w:r>
          </w:p>
          <w:p w:rsidR="00791830" w:rsidRPr="0056152C" w:rsidRDefault="00791830" w:rsidP="00791830">
            <w:pPr>
              <w:spacing w:after="0"/>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Учасник, у якого  не створено Центр  обслуговування споживачів (клієнтів) відповідно до вимог «Правил роздрібного ринку електричної енергії, затверджених Постановою НКРЕКП від14.03.2018 № 312, в зв’язку з тим, що  ним обслуговується менше 50 000 споживачів, повинен надати довідки від всіх операторів системи розподілу, з якими учасником укладено </w:t>
            </w:r>
            <w:proofErr w:type="spellStart"/>
            <w:r w:rsidRPr="0056152C">
              <w:rPr>
                <w:rFonts w:ascii="Times New Roman" w:hAnsi="Times New Roman"/>
                <w:color w:val="000000"/>
                <w:sz w:val="20"/>
                <w:szCs w:val="20"/>
                <w:lang w:val="uk-UA"/>
              </w:rPr>
              <w:t>договориелектропостачальника</w:t>
            </w:r>
            <w:proofErr w:type="spellEnd"/>
            <w:r w:rsidRPr="0056152C">
              <w:rPr>
                <w:rFonts w:ascii="Times New Roman" w:hAnsi="Times New Roman"/>
                <w:color w:val="000000"/>
                <w:sz w:val="20"/>
                <w:szCs w:val="20"/>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w:t>
            </w:r>
            <w:r w:rsidRPr="0056152C">
              <w:rPr>
                <w:rFonts w:ascii="Times New Roman" w:hAnsi="Times New Roman"/>
                <w:color w:val="000000"/>
                <w:sz w:val="20"/>
                <w:szCs w:val="20"/>
                <w:lang w:val="uk-UA"/>
              </w:rPr>
              <w:lastRenderedPageBreak/>
              <w:t xml:space="preserve">оператора системи розподілу електричної енергії. Довідки повинні бути видані не пізніше поточного року. </w:t>
            </w:r>
          </w:p>
          <w:p w:rsidR="00791830" w:rsidRPr="0056152C" w:rsidRDefault="00791830" w:rsidP="00791830">
            <w:pPr>
              <w:spacing w:after="0"/>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 Отримання та надання у складі пропозиції довідок необхідно для документального підтвердження відсутності обов’язку створення Центру  обслуговування споживачів (клієнтів), який відповідає вимогам «Правил роздрібного ринку електричної енергії, затверджених Постановою НКРЕКП від14.03.2018 № 312, в зв’язку з тим, що  учасником обслуговується менше  50  000 споживачів.</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lastRenderedPageBreak/>
              <w:t>9</w:t>
            </w:r>
          </w:p>
        </w:tc>
        <w:tc>
          <w:tcPr>
            <w:tcW w:w="9770" w:type="dxa"/>
          </w:tcPr>
          <w:p w:rsidR="0061242E" w:rsidRPr="0056152C" w:rsidRDefault="0061242E" w:rsidP="00E86A7B">
            <w:pPr>
              <w:widowControl w:val="0"/>
              <w:spacing w:line="259" w:lineRule="auto"/>
              <w:jc w:val="both"/>
              <w:rPr>
                <w:rFonts w:ascii="Times New Roman" w:hAnsi="Times New Roman"/>
                <w:sz w:val="20"/>
                <w:szCs w:val="20"/>
                <w:lang w:val="uk-UA"/>
              </w:rPr>
            </w:pPr>
            <w:r w:rsidRPr="0056152C">
              <w:rPr>
                <w:rFonts w:ascii="Times New Roman" w:hAnsi="Times New Roman"/>
                <w:color w:val="000000"/>
                <w:sz w:val="20"/>
                <w:szCs w:val="20"/>
                <w:lang w:val="uk-UA"/>
              </w:rPr>
              <w:t>Гарантійний лист Учасника з підтвердженням наявності в Учасника укладених усіх необхідних договорів, передбачених Законом України «Про ринок електричної енергії» від 13.04.2017 № 2019-VIII для забезпечення безперебійного енергопостачання об’єктів Замовника, завірений підписом уповноваженої особи та печаткою підприємства (вимога щодо печатки не стосується учасників, які здійснюють діяльність без печатки згідно діючого законодавства).</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10</w:t>
            </w:r>
          </w:p>
        </w:tc>
        <w:tc>
          <w:tcPr>
            <w:tcW w:w="9770" w:type="dxa"/>
          </w:tcPr>
          <w:p w:rsidR="0061242E" w:rsidRPr="0056152C" w:rsidRDefault="0061242E" w:rsidP="00E86A7B">
            <w:pPr>
              <w:widowControl w:val="0"/>
              <w:spacing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Лист-гарантія який засвідчує те, що учасник не є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 не є юридичною особою, кінцевими </w:t>
            </w:r>
            <w:proofErr w:type="spellStart"/>
            <w:r w:rsidRPr="0056152C">
              <w:rPr>
                <w:rFonts w:ascii="Times New Roman" w:hAnsi="Times New Roman"/>
                <w:color w:val="000000"/>
                <w:sz w:val="20"/>
                <w:szCs w:val="20"/>
                <w:lang w:val="uk-UA"/>
              </w:rPr>
              <w:t>бенефіціарними</w:t>
            </w:r>
            <w:proofErr w:type="spellEnd"/>
            <w:r w:rsidRPr="0056152C">
              <w:rPr>
                <w:rFonts w:ascii="Times New Roman" w:hAnsi="Times New Roman"/>
                <w:color w:val="000000"/>
                <w:sz w:val="20"/>
                <w:szCs w:val="20"/>
                <w:lang w:val="uk-UA"/>
              </w:rPr>
              <w:t xml:space="preserve"> власниками (власниками) якої є резиденти Російської Федерації/Республіки Білорусь, або учасник-фізична особа (фізична особа —підприємець) не є резидентом Російської Федерації/Республіки Білорусь.*</w:t>
            </w:r>
          </w:p>
        </w:tc>
      </w:tr>
      <w:tr w:rsidR="0061242E" w:rsidRPr="0056152C" w:rsidTr="00E86A7B">
        <w:tc>
          <w:tcPr>
            <w:tcW w:w="686" w:type="dxa"/>
          </w:tcPr>
          <w:p w:rsidR="0061242E" w:rsidRPr="0056152C" w:rsidRDefault="005D465F" w:rsidP="00E86A7B">
            <w:pPr>
              <w:jc w:val="center"/>
              <w:rPr>
                <w:rFonts w:ascii="Times New Roman" w:hAnsi="Times New Roman"/>
                <w:b/>
                <w:color w:val="000000"/>
                <w:sz w:val="20"/>
                <w:szCs w:val="20"/>
                <w:lang w:val="uk-UA"/>
              </w:rPr>
            </w:pPr>
            <w:r>
              <w:rPr>
                <w:rFonts w:ascii="Times New Roman" w:hAnsi="Times New Roman"/>
                <w:b/>
                <w:color w:val="000000"/>
                <w:sz w:val="20"/>
                <w:szCs w:val="20"/>
                <w:lang w:val="uk-UA"/>
              </w:rPr>
              <w:t>11</w:t>
            </w:r>
          </w:p>
        </w:tc>
        <w:tc>
          <w:tcPr>
            <w:tcW w:w="9770" w:type="dxa"/>
          </w:tcPr>
          <w:p w:rsidR="001059E9" w:rsidRPr="0056152C" w:rsidRDefault="001059E9" w:rsidP="00791830">
            <w:pPr>
              <w:widowControl w:val="0"/>
              <w:spacing w:after="0"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Довідку про наявність в учасника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-центрами»  № 373 від 12.06.2018 р. Для підтвердження інформації, вказаній у Довідці (форма 3 до додатку ___,  учасник в складі тендерної пропозиції надає:</w:t>
            </w:r>
          </w:p>
          <w:p w:rsidR="001059E9" w:rsidRPr="0056152C" w:rsidRDefault="001059E9" w:rsidP="00791830">
            <w:pPr>
              <w:widowControl w:val="0"/>
              <w:spacing w:after="0"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Положення про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-центр/контакт-центр та/або інший підтверджуючий документ Учасника, затверджений у встановленому законодавством порядку;</w:t>
            </w:r>
          </w:p>
          <w:p w:rsidR="001059E9" w:rsidRPr="0056152C" w:rsidRDefault="001059E9" w:rsidP="00791830">
            <w:pPr>
              <w:widowControl w:val="0"/>
              <w:spacing w:after="0"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Інформацію щодо кількості прийнятих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 xml:space="preserve">-центрів </w:t>
            </w:r>
            <w:proofErr w:type="spellStart"/>
            <w:r w:rsidRPr="0056152C">
              <w:rPr>
                <w:rFonts w:ascii="Times New Roman" w:hAnsi="Times New Roman"/>
                <w:color w:val="000000"/>
                <w:sz w:val="20"/>
                <w:szCs w:val="20"/>
                <w:lang w:val="uk-UA"/>
              </w:rPr>
              <w:t>електропостачальників</w:t>
            </w:r>
            <w:proofErr w:type="spellEnd"/>
            <w:r w:rsidRPr="0056152C">
              <w:rPr>
                <w:rFonts w:ascii="Times New Roman" w:hAnsi="Times New Roman"/>
                <w:color w:val="000000"/>
                <w:sz w:val="20"/>
                <w:szCs w:val="20"/>
                <w:lang w:val="uk-UA"/>
              </w:rPr>
              <w:t xml:space="preserve">,  встановлених Постановою НКРЕКП від 12.06.2018 р.  № 373, за останній звітний період. </w:t>
            </w:r>
          </w:p>
          <w:p w:rsidR="001059E9" w:rsidRPr="0056152C" w:rsidRDefault="001059E9" w:rsidP="00791830">
            <w:pPr>
              <w:widowControl w:val="0"/>
              <w:spacing w:after="0"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У разі, якщо створення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-центрами»  № 373 від 12.06.2018 р. не є обов‘язковим для учасника, такий учасник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91830" w:rsidRPr="0056152C" w:rsidRDefault="00791830" w:rsidP="00791830">
            <w:pPr>
              <w:widowControl w:val="0"/>
              <w:spacing w:after="0"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Учасник, у якого не створено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 xml:space="preserve">-центр,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 xml:space="preserve">-центрами» № 373 від 12.06.2018 р.,  в зв’язку з 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56152C">
              <w:rPr>
                <w:rFonts w:ascii="Times New Roman" w:hAnsi="Times New Roman"/>
                <w:color w:val="000000"/>
                <w:sz w:val="20"/>
                <w:szCs w:val="20"/>
                <w:lang w:val="uk-UA"/>
              </w:rPr>
              <w:t>електропостачальника</w:t>
            </w:r>
            <w:proofErr w:type="spellEnd"/>
            <w:r w:rsidRPr="0056152C">
              <w:rPr>
                <w:rFonts w:ascii="Times New Roman" w:hAnsi="Times New Roman"/>
                <w:color w:val="000000"/>
                <w:sz w:val="20"/>
                <w:szCs w:val="20"/>
                <w:lang w:val="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поточного року.</w:t>
            </w:r>
          </w:p>
          <w:p w:rsidR="0061242E" w:rsidRPr="0056152C" w:rsidRDefault="00791830" w:rsidP="00791830">
            <w:pPr>
              <w:widowControl w:val="0"/>
              <w:spacing w:after="0" w:line="259" w:lineRule="auto"/>
              <w:jc w:val="both"/>
              <w:rPr>
                <w:rFonts w:ascii="Times New Roman" w:hAnsi="Times New Roman"/>
                <w:color w:val="000000"/>
                <w:sz w:val="20"/>
                <w:szCs w:val="20"/>
                <w:lang w:val="uk-UA"/>
              </w:rPr>
            </w:pPr>
            <w:r w:rsidRPr="0056152C">
              <w:rPr>
                <w:rFonts w:ascii="Times New Roman" w:hAnsi="Times New Roman"/>
                <w:color w:val="000000"/>
                <w:sz w:val="20"/>
                <w:szCs w:val="20"/>
                <w:lang w:val="uk-UA"/>
              </w:rPr>
              <w:t xml:space="preserve">Отримання та надання у складі пропозиції довідок необхідно для документального підтвердження відсутності обов’язку створення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 xml:space="preserve">-центру, який відповідає  вимогам Постанови НКРЕКП «Про затвердження Мінімальних вимог до якості обслуговування споживачів електричної енергії </w:t>
            </w:r>
            <w:proofErr w:type="spellStart"/>
            <w:r w:rsidRPr="0056152C">
              <w:rPr>
                <w:rFonts w:ascii="Times New Roman" w:hAnsi="Times New Roman"/>
                <w:color w:val="000000"/>
                <w:sz w:val="20"/>
                <w:szCs w:val="20"/>
                <w:lang w:val="uk-UA"/>
              </w:rPr>
              <w:t>кол</w:t>
            </w:r>
            <w:proofErr w:type="spellEnd"/>
            <w:r w:rsidRPr="0056152C">
              <w:rPr>
                <w:rFonts w:ascii="Times New Roman" w:hAnsi="Times New Roman"/>
                <w:color w:val="000000"/>
                <w:sz w:val="20"/>
                <w:szCs w:val="20"/>
                <w:lang w:val="uk-UA"/>
              </w:rPr>
              <w:t>-центрами» № 373 від 12.06.2018 р.,  в зв’язку з тим, що  учасником обслуговується менше 100 000 споживачів.</w:t>
            </w:r>
          </w:p>
        </w:tc>
      </w:tr>
      <w:tr w:rsidR="001059E9" w:rsidRPr="0056152C" w:rsidTr="001059E9">
        <w:tc>
          <w:tcPr>
            <w:tcW w:w="686" w:type="dxa"/>
          </w:tcPr>
          <w:p w:rsidR="001059E9" w:rsidRPr="0056152C" w:rsidRDefault="005D465F" w:rsidP="001059E9">
            <w:pPr>
              <w:jc w:val="center"/>
              <w:rPr>
                <w:rFonts w:ascii="Times New Roman" w:hAnsi="Times New Roman"/>
                <w:b/>
                <w:color w:val="000000"/>
                <w:sz w:val="20"/>
                <w:szCs w:val="20"/>
                <w:lang w:val="uk-UA"/>
              </w:rPr>
            </w:pPr>
            <w:r>
              <w:rPr>
                <w:rFonts w:ascii="Times New Roman" w:hAnsi="Times New Roman"/>
                <w:b/>
                <w:color w:val="000000"/>
                <w:sz w:val="20"/>
                <w:szCs w:val="20"/>
                <w:lang w:val="uk-UA"/>
              </w:rPr>
              <w:t>12</w:t>
            </w:r>
          </w:p>
        </w:tc>
        <w:tc>
          <w:tcPr>
            <w:tcW w:w="9770" w:type="dxa"/>
          </w:tcPr>
          <w:p w:rsidR="001059E9" w:rsidRPr="0056152C" w:rsidRDefault="001059E9" w:rsidP="001059E9">
            <w:pPr>
              <w:widowControl w:val="0"/>
              <w:spacing w:line="259" w:lineRule="auto"/>
              <w:jc w:val="both"/>
              <w:rPr>
                <w:rFonts w:ascii="Times New Roman" w:hAnsi="Times New Roman"/>
                <w:sz w:val="20"/>
                <w:szCs w:val="20"/>
                <w:lang w:val="uk-UA"/>
              </w:rPr>
            </w:pPr>
            <w:r w:rsidRPr="0056152C">
              <w:rPr>
                <w:rFonts w:ascii="Times New Roman" w:hAnsi="Times New Roman"/>
                <w:sz w:val="20"/>
                <w:szCs w:val="20"/>
                <w:lang w:val="uk-UA"/>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1059E9" w:rsidRPr="0056152C" w:rsidRDefault="001059E9" w:rsidP="001059E9">
            <w:pPr>
              <w:widowControl w:val="0"/>
              <w:spacing w:line="259" w:lineRule="auto"/>
              <w:jc w:val="both"/>
              <w:rPr>
                <w:rFonts w:ascii="Times New Roman" w:hAnsi="Times New Roman"/>
                <w:sz w:val="20"/>
                <w:szCs w:val="20"/>
                <w:lang w:val="uk-UA"/>
              </w:rPr>
            </w:pPr>
            <w:r w:rsidRPr="0056152C">
              <w:rPr>
                <w:rFonts w:ascii="Times New Roman" w:hAnsi="Times New Roman"/>
                <w:sz w:val="20"/>
                <w:szCs w:val="20"/>
                <w:lang w:val="uk-UA"/>
              </w:rPr>
              <w:t>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tc>
      </w:tr>
      <w:tr w:rsidR="001059E9" w:rsidRPr="0056152C" w:rsidTr="001059E9">
        <w:tc>
          <w:tcPr>
            <w:tcW w:w="686" w:type="dxa"/>
          </w:tcPr>
          <w:p w:rsidR="001059E9" w:rsidRPr="0056152C" w:rsidRDefault="005D465F" w:rsidP="001059E9">
            <w:pPr>
              <w:jc w:val="center"/>
              <w:rPr>
                <w:rFonts w:ascii="Times New Roman" w:hAnsi="Times New Roman"/>
                <w:b/>
                <w:color w:val="000000"/>
                <w:sz w:val="20"/>
                <w:szCs w:val="20"/>
                <w:lang w:val="uk-UA"/>
              </w:rPr>
            </w:pPr>
            <w:r>
              <w:rPr>
                <w:rFonts w:ascii="Times New Roman" w:hAnsi="Times New Roman"/>
                <w:b/>
                <w:color w:val="000000"/>
                <w:sz w:val="20"/>
                <w:szCs w:val="20"/>
                <w:lang w:val="uk-UA"/>
              </w:rPr>
              <w:t>13</w:t>
            </w:r>
          </w:p>
        </w:tc>
        <w:tc>
          <w:tcPr>
            <w:tcW w:w="9770" w:type="dxa"/>
          </w:tcPr>
          <w:p w:rsidR="001059E9" w:rsidRPr="0056152C" w:rsidRDefault="001059E9" w:rsidP="001059E9">
            <w:pPr>
              <w:widowControl w:val="0"/>
              <w:spacing w:line="259" w:lineRule="auto"/>
              <w:jc w:val="both"/>
              <w:rPr>
                <w:rFonts w:ascii="Times New Roman" w:hAnsi="Times New Roman"/>
                <w:sz w:val="20"/>
                <w:szCs w:val="20"/>
                <w:lang w:val="uk-UA"/>
              </w:rPr>
            </w:pPr>
            <w:r w:rsidRPr="0056152C">
              <w:rPr>
                <w:rFonts w:ascii="Times New Roman" w:hAnsi="Times New Roman"/>
                <w:sz w:val="20"/>
                <w:szCs w:val="20"/>
                <w:lang w:val="uk-UA"/>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w:t>
            </w:r>
            <w:r w:rsidR="0034041F" w:rsidRPr="0056152C">
              <w:rPr>
                <w:rFonts w:ascii="Times New Roman" w:hAnsi="Times New Roman"/>
                <w:sz w:val="20"/>
                <w:szCs w:val="20"/>
                <w:lang w:val="uk-UA"/>
              </w:rPr>
              <w:t>, яка була подана НКРЕКП,</w:t>
            </w:r>
            <w:r w:rsidRPr="0056152C">
              <w:rPr>
                <w:rFonts w:ascii="Times New Roman" w:hAnsi="Times New Roman"/>
                <w:sz w:val="20"/>
                <w:szCs w:val="20"/>
                <w:lang w:val="uk-UA"/>
              </w:rPr>
              <w:t xml:space="preserve"> що передує даті оприлюднення закупівлі.</w:t>
            </w:r>
          </w:p>
        </w:tc>
      </w:tr>
      <w:tr w:rsidR="001059E9" w:rsidRPr="0056152C" w:rsidTr="001059E9">
        <w:tc>
          <w:tcPr>
            <w:tcW w:w="686" w:type="dxa"/>
          </w:tcPr>
          <w:p w:rsidR="001059E9" w:rsidRPr="0056152C" w:rsidRDefault="005D465F" w:rsidP="001059E9">
            <w:pPr>
              <w:jc w:val="center"/>
              <w:rPr>
                <w:rFonts w:ascii="Times New Roman" w:hAnsi="Times New Roman"/>
                <w:b/>
                <w:color w:val="000000"/>
                <w:sz w:val="20"/>
                <w:szCs w:val="20"/>
                <w:lang w:val="uk-UA"/>
              </w:rPr>
            </w:pPr>
            <w:r>
              <w:rPr>
                <w:rFonts w:ascii="Times New Roman" w:hAnsi="Times New Roman"/>
                <w:b/>
                <w:color w:val="000000"/>
                <w:sz w:val="20"/>
                <w:szCs w:val="20"/>
                <w:lang w:val="uk-UA"/>
              </w:rPr>
              <w:t>14</w:t>
            </w:r>
          </w:p>
        </w:tc>
        <w:tc>
          <w:tcPr>
            <w:tcW w:w="9770" w:type="dxa"/>
          </w:tcPr>
          <w:p w:rsidR="001059E9" w:rsidRPr="0056152C" w:rsidRDefault="001059E9" w:rsidP="001059E9">
            <w:pPr>
              <w:widowControl w:val="0"/>
              <w:spacing w:line="259" w:lineRule="auto"/>
              <w:jc w:val="both"/>
              <w:rPr>
                <w:rFonts w:ascii="Times New Roman" w:hAnsi="Times New Roman"/>
                <w:sz w:val="20"/>
                <w:szCs w:val="20"/>
                <w:lang w:val="uk-UA"/>
              </w:rPr>
            </w:pPr>
            <w:r w:rsidRPr="0056152C">
              <w:rPr>
                <w:rFonts w:ascii="Times New Roman" w:hAnsi="Times New Roman"/>
                <w:sz w:val="20"/>
                <w:szCs w:val="20"/>
                <w:lang w:val="uk-UA"/>
              </w:rPr>
              <w:t xml:space="preserve">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w:t>
            </w:r>
            <w:r w:rsidRPr="0056152C">
              <w:rPr>
                <w:rFonts w:ascii="Times New Roman" w:hAnsi="Times New Roman"/>
                <w:sz w:val="20"/>
                <w:szCs w:val="20"/>
                <w:lang w:val="uk-UA"/>
              </w:rPr>
              <w:lastRenderedPageBreak/>
              <w:t xml:space="preserve">екологічного управління ДСТУ ISO 14001:2015, відповідність вимогам стандартів системи управління охороною здоров’я та безпекою праці ДСТУ ISO 45001:2019, Оригінал сертифікату відповідності вимогам ДСТУ ISO/IEC 27001:2015 (ISO/IEC 27001:2013; </w:t>
            </w:r>
            <w:proofErr w:type="spellStart"/>
            <w:r w:rsidRPr="0056152C">
              <w:rPr>
                <w:rFonts w:ascii="Times New Roman" w:hAnsi="Times New Roman"/>
                <w:sz w:val="20"/>
                <w:szCs w:val="20"/>
                <w:lang w:val="uk-UA"/>
              </w:rPr>
              <w:t>Cor</w:t>
            </w:r>
            <w:proofErr w:type="spellEnd"/>
            <w:r w:rsidRPr="0056152C">
              <w:rPr>
                <w:rFonts w:ascii="Times New Roman" w:hAnsi="Times New Roman"/>
                <w:sz w:val="20"/>
                <w:szCs w:val="20"/>
                <w:lang w:val="uk-UA"/>
              </w:rPr>
              <w:t xml:space="preserve"> 1:2014, IDТ) «Інформаційні технології. Методи захисту. Системи управління інформаційною безпекою. Вимоги»,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tc>
      </w:tr>
      <w:tr w:rsidR="001059E9" w:rsidRPr="0056152C" w:rsidTr="001059E9">
        <w:tc>
          <w:tcPr>
            <w:tcW w:w="686" w:type="dxa"/>
          </w:tcPr>
          <w:p w:rsidR="001059E9" w:rsidRPr="0056152C" w:rsidRDefault="005D465F" w:rsidP="001059E9">
            <w:pPr>
              <w:jc w:val="center"/>
              <w:rPr>
                <w:rFonts w:ascii="Times New Roman" w:hAnsi="Times New Roman"/>
                <w:b/>
                <w:color w:val="000000"/>
                <w:sz w:val="20"/>
                <w:szCs w:val="20"/>
                <w:lang w:val="uk-UA"/>
              </w:rPr>
            </w:pPr>
            <w:r>
              <w:rPr>
                <w:rFonts w:ascii="Times New Roman" w:hAnsi="Times New Roman"/>
                <w:b/>
                <w:color w:val="000000"/>
                <w:sz w:val="20"/>
                <w:szCs w:val="20"/>
                <w:lang w:val="uk-UA"/>
              </w:rPr>
              <w:lastRenderedPageBreak/>
              <w:t>15</w:t>
            </w:r>
          </w:p>
        </w:tc>
        <w:tc>
          <w:tcPr>
            <w:tcW w:w="9770" w:type="dxa"/>
          </w:tcPr>
          <w:p w:rsidR="001059E9" w:rsidRPr="0056152C" w:rsidRDefault="001059E9" w:rsidP="001059E9">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 xml:space="preserve">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56152C">
              <w:rPr>
                <w:rFonts w:ascii="Times New Roman" w:hAnsi="Times New Roman"/>
                <w:sz w:val="20"/>
                <w:szCs w:val="20"/>
                <w:lang w:val="uk-UA"/>
              </w:rPr>
              <w:t>електропостачальник</w:t>
            </w:r>
            <w:proofErr w:type="spellEnd"/>
            <w:r w:rsidRPr="0056152C">
              <w:rPr>
                <w:rFonts w:ascii="Times New Roman" w:hAnsi="Times New Roman"/>
                <w:sz w:val="20"/>
                <w:szCs w:val="20"/>
                <w:lang w:val="uk-UA"/>
              </w:rPr>
              <w:t xml:space="preserve"> щорічно, до 20 лютого року, наступного за звітним, надає споживачу інформацію щодо:</w:t>
            </w:r>
          </w:p>
          <w:p w:rsidR="001059E9" w:rsidRPr="0056152C" w:rsidRDefault="001059E9" w:rsidP="001059E9">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1059E9" w:rsidRPr="0056152C" w:rsidRDefault="001059E9" w:rsidP="001059E9">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1059E9" w:rsidRPr="0056152C" w:rsidRDefault="001059E9" w:rsidP="001059E9">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 xml:space="preserve">права споживача на зміну </w:t>
            </w:r>
            <w:proofErr w:type="spellStart"/>
            <w:r w:rsidRPr="0056152C">
              <w:rPr>
                <w:rFonts w:ascii="Times New Roman" w:hAnsi="Times New Roman"/>
                <w:sz w:val="20"/>
                <w:szCs w:val="20"/>
                <w:lang w:val="uk-UA"/>
              </w:rPr>
              <w:t>електропостачальника</w:t>
            </w:r>
            <w:proofErr w:type="spellEnd"/>
            <w:r w:rsidRPr="0056152C">
              <w:rPr>
                <w:rFonts w:ascii="Times New Roman" w:hAnsi="Times New Roman"/>
                <w:sz w:val="20"/>
                <w:szCs w:val="20"/>
                <w:lang w:val="uk-UA"/>
              </w:rPr>
              <w:t xml:space="preserve"> та процедуру цієї зміни;</w:t>
            </w:r>
          </w:p>
          <w:p w:rsidR="001059E9" w:rsidRPr="0056152C" w:rsidRDefault="001059E9" w:rsidP="001059E9">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порядку зняття показів засобів вимірювання та оплати спожитої електричної енергії.</w:t>
            </w:r>
          </w:p>
          <w:p w:rsidR="001059E9" w:rsidRPr="0056152C" w:rsidRDefault="001059E9" w:rsidP="00844E27">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sidRPr="0056152C">
              <w:rPr>
                <w:rFonts w:ascii="Times New Roman" w:hAnsi="Times New Roman"/>
                <w:sz w:val="20"/>
                <w:szCs w:val="20"/>
                <w:lang w:val="uk-UA"/>
              </w:rPr>
              <w:t>кол</w:t>
            </w:r>
            <w:proofErr w:type="spellEnd"/>
            <w:r w:rsidRPr="0056152C">
              <w:rPr>
                <w:rFonts w:ascii="Times New Roman" w:hAnsi="Times New Roman"/>
                <w:sz w:val="20"/>
                <w:szCs w:val="20"/>
                <w:lang w:val="uk-UA"/>
              </w:rPr>
              <w:t>-центру, веб-сайту та положень пункту 9.6.1, 9.6.2 гл.9,6 розділу ІХ цих Правил</w:t>
            </w:r>
            <w:r w:rsidR="00844E27" w:rsidRPr="0056152C">
              <w:rPr>
                <w:rFonts w:ascii="Times New Roman" w:hAnsi="Times New Roman"/>
                <w:sz w:val="20"/>
                <w:szCs w:val="20"/>
                <w:lang w:val="uk-UA"/>
              </w:rPr>
              <w:t>, що видається на підставі проведення перевірок. За результатами детального аналізу стану функціонування енергетичних ринків Уряд України своїми рішеннями від 13 травня 2022 року та 27 серпня 2022 року надав право НКРЕКП протягом періоду воєнного стану проводити позапланові невиїзні перевірки та планові невиїзні перевірки відповідно.6 грудня 2022 року КМУ прийняв зміни до постанови №303, які надають можливість НКРЕКП проводити також й позапланові виїзні перевірки.</w:t>
            </w:r>
            <w:r w:rsidRPr="0056152C">
              <w:rPr>
                <w:rFonts w:ascii="Times New Roman" w:hAnsi="Times New Roman"/>
                <w:sz w:val="20"/>
                <w:szCs w:val="20"/>
                <w:lang w:val="uk-UA"/>
              </w:rPr>
              <w:t xml:space="preserve">. В разі відсутності у учасника центрів обслуговування споживачів, інформаційно-консультаційного центру, </w:t>
            </w:r>
            <w:proofErr w:type="spellStart"/>
            <w:r w:rsidRPr="0056152C">
              <w:rPr>
                <w:rFonts w:ascii="Times New Roman" w:hAnsi="Times New Roman"/>
                <w:sz w:val="20"/>
                <w:szCs w:val="20"/>
                <w:lang w:val="uk-UA"/>
              </w:rPr>
              <w:t>кол</w:t>
            </w:r>
            <w:proofErr w:type="spellEnd"/>
            <w:r w:rsidRPr="0056152C">
              <w:rPr>
                <w:rFonts w:ascii="Times New Roman" w:hAnsi="Times New Roman"/>
                <w:sz w:val="20"/>
                <w:szCs w:val="20"/>
                <w:lang w:val="uk-UA"/>
              </w:rPr>
              <w:t>-центру,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tc>
      </w:tr>
      <w:tr w:rsidR="001059E9" w:rsidRPr="0056152C" w:rsidTr="001059E9">
        <w:tc>
          <w:tcPr>
            <w:tcW w:w="686" w:type="dxa"/>
          </w:tcPr>
          <w:p w:rsidR="001059E9" w:rsidRPr="0056152C" w:rsidRDefault="005D465F" w:rsidP="001059E9">
            <w:pPr>
              <w:jc w:val="center"/>
              <w:rPr>
                <w:rFonts w:ascii="Times New Roman" w:hAnsi="Times New Roman"/>
                <w:b/>
                <w:color w:val="000000"/>
                <w:sz w:val="20"/>
                <w:szCs w:val="20"/>
                <w:lang w:val="uk-UA"/>
              </w:rPr>
            </w:pPr>
            <w:r>
              <w:rPr>
                <w:rFonts w:ascii="Times New Roman" w:hAnsi="Times New Roman"/>
                <w:b/>
                <w:color w:val="000000"/>
                <w:sz w:val="20"/>
                <w:szCs w:val="20"/>
                <w:lang w:val="uk-UA"/>
              </w:rPr>
              <w:t>16</w:t>
            </w:r>
            <w:bookmarkStart w:id="0" w:name="_GoBack"/>
            <w:bookmarkEnd w:id="0"/>
          </w:p>
        </w:tc>
        <w:tc>
          <w:tcPr>
            <w:tcW w:w="9770" w:type="dxa"/>
          </w:tcPr>
          <w:p w:rsidR="001059E9" w:rsidRPr="0056152C" w:rsidRDefault="001059E9" w:rsidP="001059E9">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p>
          <w:p w:rsidR="001059E9" w:rsidRPr="0056152C" w:rsidRDefault="001059E9" w:rsidP="001059E9">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56152C">
              <w:rPr>
                <w:rFonts w:ascii="Times New Roman" w:hAnsi="Times New Roman"/>
                <w:sz w:val="20"/>
                <w:szCs w:val="20"/>
                <w:lang w:val="uk-UA"/>
              </w:rPr>
              <w:t>дефолтного</w:t>
            </w:r>
            <w:proofErr w:type="spellEnd"/>
            <w:r w:rsidRPr="0056152C">
              <w:rPr>
                <w:rFonts w:ascii="Times New Roman" w:hAnsi="Times New Roman"/>
                <w:sz w:val="20"/>
                <w:szCs w:val="20"/>
                <w:lang w:val="uk-UA"/>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1059E9" w:rsidRPr="0056152C" w:rsidRDefault="001059E9" w:rsidP="001059E9">
            <w:pPr>
              <w:widowControl w:val="0"/>
              <w:spacing w:after="0" w:line="259" w:lineRule="auto"/>
              <w:jc w:val="both"/>
              <w:rPr>
                <w:rFonts w:ascii="Times New Roman" w:hAnsi="Times New Roman"/>
                <w:sz w:val="20"/>
                <w:szCs w:val="20"/>
                <w:lang w:val="uk-UA"/>
              </w:rPr>
            </w:pPr>
            <w:r w:rsidRPr="0056152C">
              <w:rPr>
                <w:rFonts w:ascii="Times New Roman" w:hAnsi="Times New Roman"/>
                <w:sz w:val="20"/>
                <w:szCs w:val="20"/>
                <w:lang w:val="uk-UA"/>
              </w:rPr>
              <w:t>У разі якщо Замовником буде перевірено та виявлено, що Учасник набував  статусу «</w:t>
            </w:r>
            <w:proofErr w:type="spellStart"/>
            <w:r w:rsidRPr="0056152C">
              <w:rPr>
                <w:rFonts w:ascii="Times New Roman" w:hAnsi="Times New Roman"/>
                <w:sz w:val="20"/>
                <w:szCs w:val="20"/>
                <w:lang w:val="uk-UA"/>
              </w:rPr>
              <w:t>дефолтний</w:t>
            </w:r>
            <w:proofErr w:type="spellEnd"/>
            <w:r w:rsidRPr="0056152C">
              <w:rPr>
                <w:rFonts w:ascii="Times New Roman" w:hAnsi="Times New Roman"/>
                <w:sz w:val="20"/>
                <w:szCs w:val="20"/>
                <w:lang w:val="uk-UA"/>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bl>
    <w:p w:rsidR="0061242E" w:rsidRPr="00DB4DE0" w:rsidRDefault="0061242E" w:rsidP="00E86A7B">
      <w:pPr>
        <w:jc w:val="center"/>
        <w:rPr>
          <w:rFonts w:ascii="Times New Roman" w:hAnsi="Times New Roman"/>
          <w:b/>
          <w:color w:val="000000"/>
          <w:sz w:val="20"/>
          <w:szCs w:val="20"/>
          <w:u w:val="single"/>
        </w:rPr>
      </w:pPr>
    </w:p>
    <w:p w:rsidR="0061242E" w:rsidRPr="00791830" w:rsidRDefault="00875AB0" w:rsidP="00791830">
      <w:pPr>
        <w:jc w:val="both"/>
        <w:rPr>
          <w:rFonts w:ascii="Times New Roman" w:hAnsi="Times New Roman"/>
          <w:sz w:val="20"/>
          <w:szCs w:val="20"/>
          <w:lang w:val="uk-UA"/>
        </w:rPr>
      </w:pPr>
      <w:r w:rsidRPr="00791830">
        <w:rPr>
          <w:rFonts w:ascii="Times New Roman" w:hAnsi="Times New Roman"/>
          <w:b/>
          <w:bCs/>
          <w:color w:val="000000"/>
          <w:sz w:val="20"/>
          <w:szCs w:val="20"/>
          <w:shd w:val="clear" w:color="auto" w:fill="FFFFFF"/>
          <w:lang w:val="uk-UA"/>
        </w:rPr>
        <w:t>**Згідно п. 3 статті 22 Закону України «Про публічні закупівлі», а саме: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sectPr w:rsidR="0061242E" w:rsidRPr="00791830" w:rsidSect="00E86A7B">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OpenSymbol">
    <w:altName w:val="Cambria"/>
    <w:panose1 w:val="00000000000000000000"/>
    <w:charset w:val="02"/>
    <w:family w:val="auto"/>
    <w:notTrueType/>
    <w:pitch w:val="default"/>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C6453"/>
    <w:multiLevelType w:val="hybridMultilevel"/>
    <w:tmpl w:val="40E4BB84"/>
    <w:lvl w:ilvl="0" w:tplc="47D06604">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42CF4627"/>
    <w:multiLevelType w:val="hybridMultilevel"/>
    <w:tmpl w:val="93DA96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63F2DAD"/>
    <w:multiLevelType w:val="multilevel"/>
    <w:tmpl w:val="EF60D7B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3" w15:restartNumberingAfterBreak="0">
    <w:nsid w:val="518D636B"/>
    <w:multiLevelType w:val="hybridMultilevel"/>
    <w:tmpl w:val="2E9800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920"/>
    <w:rsid w:val="000022F0"/>
    <w:rsid w:val="00040CB4"/>
    <w:rsid w:val="00092C39"/>
    <w:rsid w:val="001059E9"/>
    <w:rsid w:val="00142623"/>
    <w:rsid w:val="0019520D"/>
    <w:rsid w:val="001B2B72"/>
    <w:rsid w:val="002C3C83"/>
    <w:rsid w:val="002C5070"/>
    <w:rsid w:val="002F5DF4"/>
    <w:rsid w:val="0034041F"/>
    <w:rsid w:val="003532A1"/>
    <w:rsid w:val="00397077"/>
    <w:rsid w:val="003C5518"/>
    <w:rsid w:val="00461EE9"/>
    <w:rsid w:val="00480FA9"/>
    <w:rsid w:val="00484C7F"/>
    <w:rsid w:val="00493749"/>
    <w:rsid w:val="004B160C"/>
    <w:rsid w:val="0056152C"/>
    <w:rsid w:val="00563D72"/>
    <w:rsid w:val="00574B11"/>
    <w:rsid w:val="005C1920"/>
    <w:rsid w:val="005D465F"/>
    <w:rsid w:val="0061242E"/>
    <w:rsid w:val="00643A83"/>
    <w:rsid w:val="006473FF"/>
    <w:rsid w:val="00657DDB"/>
    <w:rsid w:val="006C09E8"/>
    <w:rsid w:val="006E43B5"/>
    <w:rsid w:val="00727A47"/>
    <w:rsid w:val="00775EC4"/>
    <w:rsid w:val="00791830"/>
    <w:rsid w:val="00827AD8"/>
    <w:rsid w:val="00844E27"/>
    <w:rsid w:val="008512EA"/>
    <w:rsid w:val="00875AB0"/>
    <w:rsid w:val="008D44AE"/>
    <w:rsid w:val="008D5C9B"/>
    <w:rsid w:val="009369BE"/>
    <w:rsid w:val="00964C08"/>
    <w:rsid w:val="00985EB7"/>
    <w:rsid w:val="009E592E"/>
    <w:rsid w:val="00A35310"/>
    <w:rsid w:val="00A41F74"/>
    <w:rsid w:val="00B16853"/>
    <w:rsid w:val="00BB2EA0"/>
    <w:rsid w:val="00C8052E"/>
    <w:rsid w:val="00CE55F5"/>
    <w:rsid w:val="00D55A38"/>
    <w:rsid w:val="00D63902"/>
    <w:rsid w:val="00DB4DE0"/>
    <w:rsid w:val="00DC4806"/>
    <w:rsid w:val="00E86A7B"/>
    <w:rsid w:val="00EA7CD9"/>
    <w:rsid w:val="00EB5827"/>
    <w:rsid w:val="00EE6568"/>
    <w:rsid w:val="00F135F5"/>
    <w:rsid w:val="00F36BDF"/>
    <w:rsid w:val="00F85E1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90C39"/>
  <w15:docId w15:val="{819C3FCA-4C1A-464E-BECC-E7B9E60E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27"/>
    <w:pPr>
      <w:spacing w:after="200" w:line="276"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EB5827"/>
    <w:pPr>
      <w:spacing w:before="100" w:beforeAutospacing="1" w:after="100" w:afterAutospacing="1" w:line="240" w:lineRule="auto"/>
    </w:pPr>
    <w:rPr>
      <w:rFonts w:ascii="Times New Roman" w:hAnsi="Times New Roman"/>
      <w:sz w:val="24"/>
      <w:szCs w:val="20"/>
      <w:lang w:val="uk-UA" w:eastAsia="ru-RU"/>
    </w:rPr>
  </w:style>
  <w:style w:type="character" w:customStyle="1" w:styleId="a4">
    <w:name w:val="Звичайний (веб) Знак"/>
    <w:aliases w:val="Обычный (Web) Знак"/>
    <w:link w:val="a3"/>
    <w:uiPriority w:val="99"/>
    <w:locked/>
    <w:rsid w:val="00EB5827"/>
    <w:rPr>
      <w:rFonts w:ascii="Times New Roman" w:hAnsi="Times New Roman"/>
      <w:sz w:val="24"/>
      <w:lang w:eastAsia="ru-RU"/>
    </w:rPr>
  </w:style>
  <w:style w:type="paragraph" w:customStyle="1" w:styleId="Standard">
    <w:name w:val="Standard"/>
    <w:uiPriority w:val="99"/>
    <w:rsid w:val="00EB5827"/>
    <w:pPr>
      <w:suppressAutoHyphens/>
      <w:autoSpaceDN w:val="0"/>
      <w:textAlignment w:val="baseline"/>
    </w:pPr>
    <w:rPr>
      <w:rFonts w:ascii="Liberation Serif" w:eastAsia="SimSun" w:hAnsi="Liberation Serif" w:cs="Mangal"/>
      <w:kern w:val="3"/>
      <w:sz w:val="24"/>
      <w:szCs w:val="24"/>
      <w:lang w:val="en-US" w:eastAsia="zh-CN" w:bidi="hi-IN"/>
    </w:rPr>
  </w:style>
  <w:style w:type="character" w:styleId="a5">
    <w:name w:val="Strong"/>
    <w:basedOn w:val="a0"/>
    <w:uiPriority w:val="99"/>
    <w:qFormat/>
    <w:rsid w:val="00E86A7B"/>
    <w:rPr>
      <w:rFonts w:cs="Times New Roman"/>
      <w:b/>
    </w:rPr>
  </w:style>
  <w:style w:type="character" w:customStyle="1" w:styleId="apple-converted-space">
    <w:name w:val="apple-converted-space"/>
    <w:basedOn w:val="a0"/>
    <w:uiPriority w:val="99"/>
    <w:rsid w:val="00E86A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2848">
      <w:bodyDiv w:val="1"/>
      <w:marLeft w:val="0"/>
      <w:marRight w:val="0"/>
      <w:marTop w:val="0"/>
      <w:marBottom w:val="0"/>
      <w:divBdr>
        <w:top w:val="none" w:sz="0" w:space="0" w:color="auto"/>
        <w:left w:val="none" w:sz="0" w:space="0" w:color="auto"/>
        <w:bottom w:val="none" w:sz="0" w:space="0" w:color="auto"/>
        <w:right w:val="none" w:sz="0" w:space="0" w:color="auto"/>
      </w:divBdr>
    </w:div>
    <w:div w:id="71972772">
      <w:bodyDiv w:val="1"/>
      <w:marLeft w:val="0"/>
      <w:marRight w:val="0"/>
      <w:marTop w:val="0"/>
      <w:marBottom w:val="0"/>
      <w:divBdr>
        <w:top w:val="none" w:sz="0" w:space="0" w:color="auto"/>
        <w:left w:val="none" w:sz="0" w:space="0" w:color="auto"/>
        <w:bottom w:val="none" w:sz="0" w:space="0" w:color="auto"/>
        <w:right w:val="none" w:sz="0" w:space="0" w:color="auto"/>
      </w:divBdr>
    </w:div>
    <w:div w:id="74523910">
      <w:bodyDiv w:val="1"/>
      <w:marLeft w:val="0"/>
      <w:marRight w:val="0"/>
      <w:marTop w:val="0"/>
      <w:marBottom w:val="0"/>
      <w:divBdr>
        <w:top w:val="none" w:sz="0" w:space="0" w:color="auto"/>
        <w:left w:val="none" w:sz="0" w:space="0" w:color="auto"/>
        <w:bottom w:val="none" w:sz="0" w:space="0" w:color="auto"/>
        <w:right w:val="none" w:sz="0" w:space="0" w:color="auto"/>
      </w:divBdr>
    </w:div>
    <w:div w:id="498274534">
      <w:bodyDiv w:val="1"/>
      <w:marLeft w:val="0"/>
      <w:marRight w:val="0"/>
      <w:marTop w:val="0"/>
      <w:marBottom w:val="0"/>
      <w:divBdr>
        <w:top w:val="none" w:sz="0" w:space="0" w:color="auto"/>
        <w:left w:val="none" w:sz="0" w:space="0" w:color="auto"/>
        <w:bottom w:val="none" w:sz="0" w:space="0" w:color="auto"/>
        <w:right w:val="none" w:sz="0" w:space="0" w:color="auto"/>
      </w:divBdr>
    </w:div>
    <w:div w:id="529104478">
      <w:bodyDiv w:val="1"/>
      <w:marLeft w:val="0"/>
      <w:marRight w:val="0"/>
      <w:marTop w:val="0"/>
      <w:marBottom w:val="0"/>
      <w:divBdr>
        <w:top w:val="none" w:sz="0" w:space="0" w:color="auto"/>
        <w:left w:val="none" w:sz="0" w:space="0" w:color="auto"/>
        <w:bottom w:val="none" w:sz="0" w:space="0" w:color="auto"/>
        <w:right w:val="none" w:sz="0" w:space="0" w:color="auto"/>
      </w:divBdr>
    </w:div>
    <w:div w:id="939141389">
      <w:bodyDiv w:val="1"/>
      <w:marLeft w:val="0"/>
      <w:marRight w:val="0"/>
      <w:marTop w:val="0"/>
      <w:marBottom w:val="0"/>
      <w:divBdr>
        <w:top w:val="none" w:sz="0" w:space="0" w:color="auto"/>
        <w:left w:val="none" w:sz="0" w:space="0" w:color="auto"/>
        <w:bottom w:val="none" w:sz="0" w:space="0" w:color="auto"/>
        <w:right w:val="none" w:sz="0" w:space="0" w:color="auto"/>
      </w:divBdr>
    </w:div>
    <w:div w:id="1141575804">
      <w:bodyDiv w:val="1"/>
      <w:marLeft w:val="0"/>
      <w:marRight w:val="0"/>
      <w:marTop w:val="0"/>
      <w:marBottom w:val="0"/>
      <w:divBdr>
        <w:top w:val="none" w:sz="0" w:space="0" w:color="auto"/>
        <w:left w:val="none" w:sz="0" w:space="0" w:color="auto"/>
        <w:bottom w:val="none" w:sz="0" w:space="0" w:color="auto"/>
        <w:right w:val="none" w:sz="0" w:space="0" w:color="auto"/>
      </w:divBdr>
    </w:div>
    <w:div w:id="1324771344">
      <w:bodyDiv w:val="1"/>
      <w:marLeft w:val="0"/>
      <w:marRight w:val="0"/>
      <w:marTop w:val="0"/>
      <w:marBottom w:val="0"/>
      <w:divBdr>
        <w:top w:val="none" w:sz="0" w:space="0" w:color="auto"/>
        <w:left w:val="none" w:sz="0" w:space="0" w:color="auto"/>
        <w:bottom w:val="none" w:sz="0" w:space="0" w:color="auto"/>
        <w:right w:val="none" w:sz="0" w:space="0" w:color="auto"/>
      </w:divBdr>
    </w:div>
    <w:div w:id="1805390631">
      <w:bodyDiv w:val="1"/>
      <w:marLeft w:val="0"/>
      <w:marRight w:val="0"/>
      <w:marTop w:val="0"/>
      <w:marBottom w:val="0"/>
      <w:divBdr>
        <w:top w:val="none" w:sz="0" w:space="0" w:color="auto"/>
        <w:left w:val="none" w:sz="0" w:space="0" w:color="auto"/>
        <w:bottom w:val="none" w:sz="0" w:space="0" w:color="auto"/>
        <w:right w:val="none" w:sz="0" w:space="0" w:color="auto"/>
      </w:divBdr>
    </w:div>
    <w:div w:id="18251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10273</Words>
  <Characters>5856</Characters>
  <Application>Microsoft Office Word</Application>
  <DocSecurity>0</DocSecurity>
  <Lines>48</Lines>
  <Paragraphs>32</Paragraphs>
  <ScaleCrop>false</ScaleCrop>
  <HeadingPairs>
    <vt:vector size="2" baseType="variant">
      <vt:variant>
        <vt:lpstr>Название</vt:lpstr>
      </vt:variant>
      <vt:variant>
        <vt:i4>1</vt:i4>
      </vt:variant>
    </vt:vector>
  </HeadingPairs>
  <TitlesOfParts>
    <vt:vector size="1" baseType="lpstr">
      <vt:lpstr>ДОДАТОК 3</vt:lpstr>
    </vt:vector>
  </TitlesOfParts>
  <Company>SPecialiST RePack</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Bugaiova Liliia</dc:creator>
  <cp:keywords/>
  <dc:description/>
  <cp:lastModifiedBy>PC 3</cp:lastModifiedBy>
  <cp:revision>20</cp:revision>
  <dcterms:created xsi:type="dcterms:W3CDTF">2023-01-12T13:35:00Z</dcterms:created>
  <dcterms:modified xsi:type="dcterms:W3CDTF">2023-05-29T10:48:00Z</dcterms:modified>
</cp:coreProperties>
</file>