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AB" w:rsidRDefault="004306AB" w:rsidP="004306AB">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Додаток 3</w:t>
      </w:r>
    </w:p>
    <w:p w:rsidR="004306AB" w:rsidRDefault="004306AB" w:rsidP="004306AB">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4306AB" w:rsidRDefault="004306AB" w:rsidP="004306AB">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w:t>
      </w:r>
      <w:r w:rsidR="00E534EE">
        <w:rPr>
          <w:rFonts w:ascii="Times New Roman" w:eastAsia="Times New Roman" w:hAnsi="Times New Roman" w:cs="Times New Roman"/>
          <w:spacing w:val="2"/>
          <w:sz w:val="23"/>
          <w:szCs w:val="23"/>
        </w:rPr>
        <w:t>4</w:t>
      </w:r>
      <w:r>
        <w:rPr>
          <w:rFonts w:ascii="Times New Roman" w:eastAsia="Times New Roman" w:hAnsi="Times New Roman" w:cs="Times New Roman"/>
          <w:spacing w:val="2"/>
          <w:sz w:val="23"/>
          <w:szCs w:val="23"/>
        </w:rPr>
        <w:t xml:space="preserve"> року</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rsidR="004306AB" w:rsidRDefault="004306AB" w:rsidP="004306AB">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rsidR="004306AB" w:rsidRDefault="004306AB" w:rsidP="004306AB">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 зазначен</w:t>
            </w:r>
            <w:r w:rsidR="002A687C">
              <w:rPr>
                <w:rFonts w:ascii="Times New Roman" w:eastAsia="Times New Roman" w:hAnsi="Times New Roman" w:cs="Times New Roman"/>
                <w:color w:val="000000"/>
                <w:sz w:val="23"/>
                <w:szCs w:val="23"/>
              </w:rPr>
              <w:t>ий</w:t>
            </w:r>
            <w:r>
              <w:rPr>
                <w:rFonts w:ascii="Times New Roman" w:eastAsia="Times New Roman" w:hAnsi="Times New Roman" w:cs="Times New Roman"/>
                <w:color w:val="000000"/>
                <w:sz w:val="23"/>
                <w:szCs w:val="23"/>
              </w:rPr>
              <w:t xml:space="preserve"> в специфікації, яка є невід’ємною частиною цього Договору (надалі Товар), а Замовник – прийняти і оплатити такі Товари.</w:t>
            </w:r>
          </w:p>
          <w:p w:rsidR="00083387" w:rsidRDefault="004306AB" w:rsidP="00131D00">
            <w:pPr>
              <w:spacing w:after="0" w:line="240" w:lineRule="auto"/>
              <w:jc w:val="both"/>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0" w:name="_Hlk127864684"/>
            <w:r>
              <w:rPr>
                <w:rFonts w:ascii="Times New Roman" w:eastAsia="Times New Roman" w:hAnsi="Times New Roman" w:cs="Times New Roman"/>
                <w:color w:val="000000"/>
                <w:sz w:val="23"/>
                <w:szCs w:val="23"/>
              </w:rPr>
              <w:t xml:space="preserve">за </w:t>
            </w:r>
            <w:bookmarkEnd w:id="0"/>
            <w:r w:rsidR="00083387" w:rsidRPr="00083387">
              <w:rPr>
                <w:rFonts w:ascii="Times New Roman" w:eastAsia="Times New Roman" w:hAnsi="Times New Roman" w:cs="Times New Roman"/>
                <w:b/>
                <w:bCs/>
                <w:color w:val="000000"/>
                <w:sz w:val="23"/>
                <w:szCs w:val="23"/>
              </w:rPr>
              <w:t>ДК 021:2015 - 33120000-7 - Системи реєстрації медичної інформації та дослідне обладнання (НК 024:2023 - 16231 Професійний багатоканальний електрокардіограф (Електрокардіограф багатоканальний))</w:t>
            </w:r>
            <w:r w:rsidR="00083387">
              <w:rPr>
                <w:rFonts w:ascii="Times New Roman" w:eastAsia="Times New Roman" w:hAnsi="Times New Roman" w:cs="Times New Roman"/>
                <w:b/>
                <w:bCs/>
                <w:color w:val="000000"/>
                <w:sz w:val="23"/>
                <w:szCs w:val="23"/>
              </w:rPr>
              <w:t>.</w:t>
            </w:r>
            <w:r w:rsidR="00083387" w:rsidRPr="00083387">
              <w:rPr>
                <w:rFonts w:ascii="Times New Roman" w:eastAsia="Times New Roman" w:hAnsi="Times New Roman" w:cs="Times New Roman"/>
                <w:b/>
                <w:bCs/>
                <w:color w:val="000000"/>
                <w:sz w:val="23"/>
                <w:szCs w:val="23"/>
              </w:rPr>
              <w:t xml:space="preserve">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w:t>
            </w:r>
            <w:r w:rsidR="002A687C">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z w:val="23"/>
                <w:szCs w:val="23"/>
              </w:rPr>
              <w:t xml:space="preserve"> зазначен</w:t>
            </w:r>
            <w:r w:rsidR="002A687C">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z w:val="23"/>
                <w:szCs w:val="23"/>
              </w:rPr>
              <w:t xml:space="preserve"> в Специфікації (Додаток 1).</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2A687C"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Товар повинен мати </w:t>
            </w:r>
            <w:r w:rsidR="002A687C" w:rsidRPr="002A687C">
              <w:rPr>
                <w:rFonts w:ascii="Times New Roman" w:eastAsia="Times New Roman" w:hAnsi="Times New Roman" w:cs="Times New Roman"/>
                <w:color w:val="000000"/>
                <w:sz w:val="23"/>
                <w:szCs w:val="23"/>
                <w:lang w:eastAsia="zh-CN"/>
              </w:rPr>
              <w:t>декларацію про відповідність вимогам Технічного регламенту щодо медичних виробів</w:t>
            </w:r>
            <w:r>
              <w:rPr>
                <w:rFonts w:ascii="Times New Roman" w:eastAsia="Times New Roman" w:hAnsi="Times New Roman" w:cs="Times New Roman"/>
                <w:color w:val="000000"/>
                <w:sz w:val="23"/>
                <w:szCs w:val="23"/>
                <w:lang w:eastAsia="zh-CN"/>
              </w:rPr>
              <w:t>, інструкці</w:t>
            </w:r>
            <w:r w:rsidR="002A687C">
              <w:rPr>
                <w:rFonts w:ascii="Times New Roman" w:eastAsia="Times New Roman" w:hAnsi="Times New Roman" w:cs="Times New Roman"/>
                <w:color w:val="000000"/>
                <w:sz w:val="23"/>
                <w:szCs w:val="23"/>
                <w:lang w:eastAsia="zh-CN"/>
              </w:rPr>
              <w:t>ю</w:t>
            </w:r>
            <w:r>
              <w:rPr>
                <w:rFonts w:ascii="Times New Roman" w:eastAsia="Times New Roman" w:hAnsi="Times New Roman" w:cs="Times New Roman"/>
                <w:color w:val="000000"/>
                <w:sz w:val="23"/>
                <w:szCs w:val="23"/>
                <w:lang w:eastAsia="zh-CN"/>
              </w:rPr>
              <w:t xml:space="preserve"> на державній мові, затверджен</w:t>
            </w:r>
            <w:r w:rsidR="002A687C">
              <w:rPr>
                <w:rFonts w:ascii="Times New Roman" w:eastAsia="Times New Roman" w:hAnsi="Times New Roman" w:cs="Times New Roman"/>
                <w:color w:val="000000"/>
                <w:sz w:val="23"/>
                <w:szCs w:val="23"/>
                <w:lang w:eastAsia="zh-CN"/>
              </w:rPr>
              <w:t>у</w:t>
            </w:r>
            <w:r>
              <w:rPr>
                <w:rFonts w:ascii="Times New Roman" w:eastAsia="Times New Roman" w:hAnsi="Times New Roman" w:cs="Times New Roman"/>
                <w:color w:val="000000"/>
                <w:sz w:val="23"/>
                <w:szCs w:val="23"/>
                <w:lang w:eastAsia="zh-CN"/>
              </w:rPr>
              <w:t xml:space="preserve"> в установленому порядку</w:t>
            </w:r>
            <w:r w:rsidR="002A687C">
              <w:rPr>
                <w:rFonts w:ascii="Times New Roman" w:eastAsia="Times New Roman" w:hAnsi="Times New Roman" w:cs="Times New Roman"/>
                <w:color w:val="000000"/>
                <w:sz w:val="23"/>
                <w:szCs w:val="23"/>
                <w:lang w:eastAsia="zh-CN"/>
              </w:rPr>
              <w:t>.</w:t>
            </w:r>
            <w:r>
              <w:rPr>
                <w:rFonts w:ascii="Times New Roman" w:eastAsia="Times New Roman" w:hAnsi="Times New Roman" w:cs="Times New Roman"/>
                <w:color w:val="000000"/>
                <w:sz w:val="23"/>
                <w:szCs w:val="23"/>
                <w:lang w:eastAsia="zh-CN"/>
              </w:rPr>
              <w:t xml:space="preserve"> </w:t>
            </w:r>
          </w:p>
          <w:p w:rsidR="004306AB" w:rsidRDefault="002A687C"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w:t>
            </w:r>
            <w:r w:rsidR="004306AB">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w:t>
            </w:r>
            <w:r>
              <w:rPr>
                <w:rFonts w:ascii="Times New Roman" w:eastAsia="Times New Roman" w:hAnsi="Times New Roman" w:cs="Times New Roman"/>
                <w:color w:val="000000"/>
                <w:sz w:val="23"/>
                <w:szCs w:val="23"/>
                <w:lang w:eastAsia="zh-CN"/>
              </w:rPr>
              <w:t>ого</w:t>
            </w:r>
            <w:r w:rsidR="004306AB">
              <w:rPr>
                <w:rFonts w:ascii="Times New Roman" w:eastAsia="Times New Roman" w:hAnsi="Times New Roman" w:cs="Times New Roman"/>
                <w:color w:val="000000"/>
                <w:sz w:val="23"/>
                <w:szCs w:val="23"/>
                <w:lang w:eastAsia="zh-CN"/>
              </w:rPr>
              <w:t xml:space="preserve"> товар</w:t>
            </w:r>
            <w:r>
              <w:rPr>
                <w:rFonts w:ascii="Times New Roman" w:eastAsia="Times New Roman" w:hAnsi="Times New Roman" w:cs="Times New Roman"/>
                <w:color w:val="000000"/>
                <w:sz w:val="23"/>
                <w:szCs w:val="23"/>
                <w:lang w:eastAsia="zh-CN"/>
              </w:rPr>
              <w:t>у</w:t>
            </w:r>
            <w:r w:rsidR="004306AB">
              <w:rPr>
                <w:rFonts w:ascii="Times New Roman" w:eastAsia="Times New Roman" w:hAnsi="Times New Roman" w:cs="Times New Roman"/>
                <w:color w:val="000000"/>
                <w:sz w:val="23"/>
                <w:szCs w:val="23"/>
                <w:lang w:eastAsia="zh-CN"/>
              </w:rPr>
              <w:t xml:space="preserve">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w:t>
            </w:r>
            <w:r w:rsidR="002A687C">
              <w:rPr>
                <w:rFonts w:ascii="Times New Roman" w:eastAsia="Times New Roman" w:hAnsi="Times New Roman" w:cs="Times New Roman"/>
                <w:color w:val="000000"/>
                <w:sz w:val="23"/>
                <w:szCs w:val="23"/>
                <w:lang w:eastAsia="zh-CN"/>
              </w:rPr>
              <w:t>)</w:t>
            </w:r>
            <w:r>
              <w:rPr>
                <w:rFonts w:ascii="Times New Roman" w:eastAsia="Times New Roman" w:hAnsi="Times New Roman" w:cs="Times New Roman"/>
                <w:color w:val="000000"/>
                <w:sz w:val="23"/>
                <w:szCs w:val="23"/>
                <w:lang w:eastAsia="zh-CN"/>
              </w:rPr>
              <w:t xml:space="preserve"> Постачальнику. Про виявлені порушення цього договору щодо якості товару Замовник письмово повідомляє про це Постачальника.</w:t>
            </w:r>
          </w:p>
          <w:p w:rsidR="004306AB"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2A687C"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 xml:space="preserve">2.3. </w:t>
            </w:r>
            <w:r w:rsidR="002A687C" w:rsidRPr="002A687C">
              <w:rPr>
                <w:rFonts w:ascii="Times New Roman" w:hAnsi="Times New Roman" w:cs="Times New Roman"/>
                <w:color w:val="000000"/>
                <w:sz w:val="23"/>
                <w:szCs w:val="23"/>
                <w:lang w:eastAsia="ar-SA"/>
              </w:rPr>
              <w:t xml:space="preserve">Постачальник гарантує якість товару, що постачається Замовнику за цим Договором. </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4306AB" w:rsidRDefault="004306AB" w:rsidP="00131D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3.2. Сума цього Договору може бути зменшена за взаємною згодою Сторін.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4306AB" w:rsidRDefault="004306AB" w:rsidP="00131D00">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4306AB" w:rsidRDefault="004306AB" w:rsidP="00131D00">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p w:rsidR="00E534EE" w:rsidRPr="00E534EE" w:rsidRDefault="00E534EE" w:rsidP="00131D00">
            <w:pPr>
              <w:spacing w:after="0" w:line="240" w:lineRule="auto"/>
              <w:jc w:val="both"/>
              <w:outlineLvl w:val="2"/>
              <w:rPr>
                <w:rFonts w:ascii="Times New Roman" w:eastAsia="Times New Roman" w:hAnsi="Times New Roman" w:cs="Times New Roman"/>
                <w:color w:val="000000"/>
                <w:spacing w:val="-1"/>
                <w:sz w:val="23"/>
                <w:szCs w:val="23"/>
              </w:rPr>
            </w:pPr>
            <w:r w:rsidRPr="00E534EE">
              <w:rPr>
                <w:rFonts w:ascii="Times New Roman" w:eastAsia="Times New Roman" w:hAnsi="Times New Roman" w:cs="Times New Roman"/>
                <w:color w:val="000000"/>
                <w:spacing w:val="-1"/>
                <w:sz w:val="23"/>
                <w:szCs w:val="23"/>
              </w:rPr>
              <w:t>3.6. Джерело фінансування:____________________________________________________</w:t>
            </w:r>
            <w:r>
              <w:rPr>
                <w:rFonts w:ascii="Times New Roman" w:eastAsia="Times New Roman" w:hAnsi="Times New Roman" w:cs="Times New Roman"/>
                <w:color w:val="000000"/>
                <w:spacing w:val="-1"/>
                <w:sz w:val="23"/>
                <w:szCs w:val="23"/>
              </w:rPr>
              <w:t>________________</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trHeight w:val="840"/>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4306AB" w:rsidRDefault="004306AB" w:rsidP="00131D00">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4306AB" w:rsidRDefault="004306AB" w:rsidP="004306A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4306AB" w:rsidRPr="00FA3D1D" w:rsidRDefault="004306AB" w:rsidP="004306AB">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sidR="00E534EE">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6.4.2. На дострокову поставку товарів за письмовим погодженням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306AB" w:rsidRDefault="004306AB" w:rsidP="00131D00">
            <w:pPr>
              <w:spacing w:after="0" w:line="240" w:lineRule="auto"/>
              <w:jc w:val="both"/>
              <w:rPr>
                <w:rFonts w:ascii="Times New Roman" w:eastAsia="Times New Roman" w:hAnsi="Times New Roman" w:cs="Times New Roman"/>
                <w:color w:val="000000"/>
                <w:spacing w:val="2"/>
                <w:sz w:val="23"/>
                <w:szCs w:val="23"/>
              </w:rPr>
            </w:pP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4306AB" w:rsidRDefault="004306AB" w:rsidP="004306A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w:t>
      </w:r>
      <w:r w:rsidR="00E534EE">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4306AB" w:rsidRDefault="004306AB" w:rsidP="004306AB">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6AB" w:rsidRPr="00270560" w:rsidRDefault="004306AB" w:rsidP="004306AB">
      <w:pPr>
        <w:pStyle w:val="a3"/>
        <w:numPr>
          <w:ilvl w:val="0"/>
          <w:numId w:val="1"/>
        </w:num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w:t>
      </w:r>
      <w:proofErr w:type="gramStart"/>
      <w:r w:rsidRPr="00270560">
        <w:rPr>
          <w:rFonts w:ascii="Times New Roman" w:eastAsia="Times New Roman" w:hAnsi="Times New Roman" w:cs="Times New Roman"/>
          <w:color w:val="000000"/>
          <w:sz w:val="23"/>
          <w:szCs w:val="23"/>
        </w:rPr>
        <w:t>на ринку</w:t>
      </w:r>
      <w:proofErr w:type="gramEnd"/>
      <w:r w:rsidRPr="00270560">
        <w:rPr>
          <w:rFonts w:ascii="Times New Roman" w:eastAsia="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w:t>
      </w:r>
      <w:r w:rsidRPr="00270560">
        <w:rPr>
          <w:rFonts w:ascii="Times New Roman" w:eastAsia="Times New Roman" w:hAnsi="Times New Roman" w:cs="Times New Roman"/>
          <w:color w:val="000000"/>
          <w:sz w:val="23"/>
          <w:szCs w:val="23"/>
        </w:rPr>
        <w:lastRenderedPageBreak/>
        <w:t>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107C4" w:rsidRPr="00270560" w:rsidRDefault="000107C4" w:rsidP="004306AB">
      <w:pPr>
        <w:spacing w:after="0" w:line="240" w:lineRule="auto"/>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4306AB" w:rsidRDefault="004306AB" w:rsidP="004306AB">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4306AB" w:rsidRDefault="004306AB" w:rsidP="004306AB">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4306AB" w:rsidRPr="00F65CAA" w:rsidRDefault="004306AB" w:rsidP="004306AB">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w:t>
      </w:r>
      <w:r>
        <w:rPr>
          <w:rFonts w:ascii="Times New Roman" w:eastAsia="Times New Roman" w:hAnsi="Times New Roman" w:cs="Times New Roman"/>
          <w:sz w:val="24"/>
          <w:szCs w:val="24"/>
        </w:rPr>
        <w:lastRenderedPageBreak/>
        <w:t>моменту її відправки Замовником на адресу Постачальника, зазначену в цьому договорі про закупівлю.</w:t>
      </w:r>
    </w:p>
    <w:p w:rsidR="004306AB" w:rsidRDefault="004306AB" w:rsidP="004306AB">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4306AB" w:rsidRDefault="004306AB" w:rsidP="004306A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4306AB" w:rsidTr="00131D00">
        <w:trPr>
          <w:cantSplit/>
          <w:trHeight w:val="4679"/>
        </w:trPr>
        <w:tc>
          <w:tcPr>
            <w:tcW w:w="4771"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roofErr w:type="spellStart"/>
            <w:r w:rsidRPr="00B60BC7">
              <w:rPr>
                <w:rFonts w:ascii="Times New Roman" w:eastAsia="Times New Roman" w:hAnsi="Times New Roman" w:cs="Times New Roman"/>
              </w:rPr>
              <w:t>м.п</w:t>
            </w:r>
            <w:proofErr w:type="spellEnd"/>
            <w:r w:rsidRPr="00B60BC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17D62" w:rsidRDefault="00817D6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083387" w:rsidRDefault="00083387"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083387" w:rsidRDefault="00083387" w:rsidP="004306AB">
      <w:pPr>
        <w:widowControl w:val="0"/>
        <w:suppressAutoHyphens/>
        <w:spacing w:after="0" w:line="240" w:lineRule="auto"/>
        <w:jc w:val="right"/>
        <w:rPr>
          <w:rFonts w:ascii="Times New Roman" w:eastAsia="Times New Roman" w:hAnsi="Times New Roman" w:cs="Times New Roman"/>
          <w:b/>
          <w:sz w:val="24"/>
          <w:szCs w:val="24"/>
          <w:lang w:eastAsia="zh-CN"/>
        </w:rPr>
      </w:pPr>
      <w:bookmarkStart w:id="1" w:name="_GoBack"/>
      <w:bookmarkEnd w:id="1"/>
    </w:p>
    <w:p w:rsidR="00817D62" w:rsidRDefault="00817D6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w:t>
      </w:r>
      <w:r w:rsidR="00E534EE">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 xml:space="preserve"> року</w:t>
      </w:r>
    </w:p>
    <w:p w:rsidR="004306AB" w:rsidRDefault="004306AB" w:rsidP="004306AB">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4306AB" w:rsidTr="00131D00">
        <w:trPr>
          <w:trHeight w:val="705"/>
        </w:trPr>
        <w:tc>
          <w:tcPr>
            <w:tcW w:w="10382" w:type="dxa"/>
            <w:shd w:val="clear" w:color="auto" w:fill="auto"/>
            <w:vAlign w:val="bottom"/>
          </w:tcPr>
          <w:p w:rsidR="004306AB" w:rsidRDefault="004306AB" w:rsidP="00131D00">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rsidR="004306AB" w:rsidRPr="004171BD" w:rsidRDefault="00083387" w:rsidP="00131D00">
            <w:pPr>
              <w:spacing w:after="0" w:line="240" w:lineRule="auto"/>
              <w:jc w:val="center"/>
              <w:rPr>
                <w:rFonts w:ascii="Times New Roman" w:eastAsia="Times New Roman" w:hAnsi="Times New Roman" w:cs="Times New Roman"/>
                <w:b/>
                <w:bCs/>
                <w:iCs/>
                <w:color w:val="000000"/>
                <w:sz w:val="23"/>
                <w:szCs w:val="23"/>
              </w:rPr>
            </w:pPr>
            <w:bookmarkStart w:id="2" w:name="_Hlk134514290"/>
            <w:bookmarkStart w:id="3" w:name="_Hlk129787133"/>
            <w:r w:rsidRPr="00083387">
              <w:rPr>
                <w:rFonts w:ascii="Times New Roman" w:eastAsia="Times New Roman" w:hAnsi="Times New Roman" w:cs="Times New Roman"/>
                <w:b/>
                <w:bCs/>
                <w:iCs/>
                <w:color w:val="000000"/>
                <w:sz w:val="23"/>
                <w:szCs w:val="23"/>
              </w:rPr>
              <w:t>ДК 021:2015 - 33120000-7 - Системи реєстрації медичної інформації та дослідне обладнання (НК 024:2023 - 16231 Професійний багатоканальний електрокардіограф (Електрокардіограф багатоканальний))</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4306AB" w:rsidTr="00131D00">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2"/>
                <w:bookmarkEnd w:id="3"/>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4" w:name="_Hlk123031321"/>
                  <w:bookmarkEnd w:id="4"/>
                </w:p>
              </w:tc>
            </w:tr>
            <w:tr w:rsidR="004306AB" w:rsidTr="00131D00">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131D00">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4306AB" w:rsidRDefault="004306AB" w:rsidP="00131D00">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rsidR="004306AB" w:rsidRDefault="004306AB" w:rsidP="004306AB">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4306AB" w:rsidTr="00131D00">
        <w:trPr>
          <w:cantSplit/>
        </w:trPr>
        <w:tc>
          <w:tcPr>
            <w:tcW w:w="5024"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41CF3" w:rsidRDefault="00441CF3"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4306AB" w:rsidRDefault="004306AB" w:rsidP="00B52585">
      <w:pPr>
        <w:spacing w:after="0" w:line="240" w:lineRule="auto"/>
        <w:rPr>
          <w:rFonts w:ascii="Times New Roman" w:hAnsi="Times New Roman" w:cs="Times New Roman"/>
          <w:sz w:val="24"/>
          <w:szCs w:val="24"/>
          <w:lang w:eastAsia="en-US"/>
        </w:rPr>
      </w:pPr>
    </w:p>
    <w:sectPr w:rsidR="004306AB">
      <w:footerReference w:type="default" r:id="rId7"/>
      <w:headerReference w:type="firs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24" w:rsidRDefault="00835DAD">
      <w:pPr>
        <w:spacing w:after="0" w:line="240" w:lineRule="auto"/>
      </w:pPr>
      <w:r>
        <w:separator/>
      </w:r>
    </w:p>
  </w:endnote>
  <w:endnote w:type="continuationSeparator" w:id="0">
    <w:p w:rsidR="00364324" w:rsidRDefault="0083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4306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0833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24" w:rsidRDefault="00835DAD">
      <w:pPr>
        <w:spacing w:after="0" w:line="240" w:lineRule="auto"/>
      </w:pPr>
      <w:r>
        <w:separator/>
      </w:r>
    </w:p>
  </w:footnote>
  <w:footnote w:type="continuationSeparator" w:id="0">
    <w:p w:rsidR="00364324" w:rsidRDefault="0083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08338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AB"/>
    <w:rsid w:val="000107C4"/>
    <w:rsid w:val="00083387"/>
    <w:rsid w:val="002A687C"/>
    <w:rsid w:val="00364324"/>
    <w:rsid w:val="004306AB"/>
    <w:rsid w:val="00441CF3"/>
    <w:rsid w:val="006054EF"/>
    <w:rsid w:val="00783D20"/>
    <w:rsid w:val="00817D62"/>
    <w:rsid w:val="00835DAD"/>
    <w:rsid w:val="00B52585"/>
    <w:rsid w:val="00B813E1"/>
    <w:rsid w:val="00C61B2F"/>
    <w:rsid w:val="00CB3F59"/>
    <w:rsid w:val="00E5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4904"/>
  <w15:chartTrackingRefBased/>
  <w15:docId w15:val="{5818ACE5-79D7-4F6E-A2B3-0C7D5CEA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6A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4784</Words>
  <Characters>27273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2023-11-07T10:44:00Z</dcterms:created>
  <dcterms:modified xsi:type="dcterms:W3CDTF">2024-03-22T08:33:00Z</dcterms:modified>
</cp:coreProperties>
</file>