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 xml:space="preserve">від </w:t>
      </w:r>
      <w:r>
        <w:rPr>
          <w:sz w:val="32"/>
          <w:szCs w:val="32"/>
          <w:lang w:val="en-US"/>
        </w:rPr>
        <w:t>28</w:t>
      </w:r>
      <w:r>
        <w:rPr>
          <w:sz w:val="32"/>
          <w:szCs w:val="32"/>
        </w:rPr>
        <w:t xml:space="preserve"> липня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___________</w:t>
      </w:r>
      <w:r>
        <w:rPr/>
        <w:t xml:space="preserve">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2"/>
          <w:szCs w:val="32"/>
        </w:rPr>
      </w:pPr>
      <w:r>
        <w:rPr>
          <w:sz w:val="32"/>
          <w:szCs w:val="32"/>
        </w:rPr>
        <w:t xml:space="preserve">ТЕНДЕРНА ДОКУМЕНТАЦІЯ </w:t>
      </w:r>
    </w:p>
    <w:p>
      <w:pPr>
        <w:pStyle w:val="Style30"/>
        <w:spacing w:before="20" w:after="0"/>
        <w:ind w:left="0" w:right="-25" w:hanging="0"/>
        <w:rPr>
          <w:rFonts w:ascii="Times New Roman" w:hAnsi="Times New Roman"/>
          <w:sz w:val="32"/>
          <w:szCs w:val="32"/>
        </w:rPr>
      </w:pPr>
      <w:r>
        <w:rPr>
          <w:rFonts w:ascii="Times New Roman" w:hAnsi="Times New Roman"/>
          <w:sz w:val="32"/>
          <w:szCs w:val="32"/>
        </w:rPr>
      </w:r>
    </w:p>
    <w:p>
      <w:pPr>
        <w:pStyle w:val="Style30"/>
        <w:spacing w:before="20" w:after="0"/>
        <w:ind w:left="0" w:right="-25" w:hanging="0"/>
        <w:rPr>
          <w:rFonts w:ascii="Times New Roman" w:hAnsi="Times New Roman"/>
          <w:sz w:val="32"/>
          <w:szCs w:val="32"/>
        </w:rPr>
      </w:pPr>
      <w:r>
        <w:rPr>
          <w:rFonts w:ascii="Times New Roman" w:hAnsi="Times New Roman"/>
          <w:sz w:val="32"/>
          <w:szCs w:val="32"/>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r>
    </w:p>
    <w:p>
      <w:pPr>
        <w:pStyle w:val="Normal"/>
        <w:spacing w:lineRule="atLeast" w:line="23"/>
        <w:jc w:val="center"/>
        <w:rPr>
          <w:b/>
          <w:b/>
          <w:bCs/>
          <w:sz w:val="32"/>
          <w:szCs w:val="32"/>
        </w:rPr>
      </w:pPr>
      <w:r>
        <w:rPr>
          <w:rFonts w:eastAsia="Times New Roman"/>
          <w:b/>
          <w:bCs/>
          <w:sz w:val="32"/>
          <w:szCs w:val="32"/>
          <w:lang w:eastAsia="uk-UA"/>
        </w:rPr>
        <w:t xml:space="preserve">Теплообмінники, кондиціонери повітря, холодильне обладнання та фільтрувальні пристрої, </w:t>
      </w:r>
    </w:p>
    <w:p>
      <w:pPr>
        <w:pStyle w:val="Normal"/>
        <w:spacing w:lineRule="atLeast" w:line="23"/>
        <w:jc w:val="center"/>
        <w:rPr>
          <w:b/>
          <w:b/>
          <w:bCs/>
          <w:sz w:val="32"/>
          <w:szCs w:val="32"/>
        </w:rPr>
      </w:pPr>
      <w:r>
        <w:rPr>
          <w:rFonts w:eastAsia="Times New Roman"/>
          <w:b/>
          <w:bCs/>
          <w:sz w:val="32"/>
          <w:szCs w:val="32"/>
          <w:lang w:eastAsia="uk-UA"/>
        </w:rPr>
        <w:t>код за ДК 021:2015 – 42510000-4</w:t>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left="0" w:right="-23" w:firstLine="567"/>
        <w:outlineLvl w:val="0"/>
        <w:rPr>
          <w:b/>
          <w:b/>
          <w:bCs/>
          <w:sz w:val="24"/>
          <w:szCs w:val="24"/>
        </w:rPr>
      </w:pPr>
      <w:r>
        <w:rPr>
          <w:b/>
          <w:bCs/>
          <w:sz w:val="24"/>
          <w:szCs w:val="24"/>
        </w:rPr>
        <w:t>Розділ І. Загальні положення</w:t>
      </w:r>
    </w:p>
    <w:p>
      <w:pPr>
        <w:pStyle w:val="Normal"/>
        <w:numPr>
          <w:ilvl w:val="0"/>
          <w:numId w:val="0"/>
        </w:numPr>
        <w:ind w:left="0"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left="0" w:right="-25" w:firstLine="567"/>
        <w:jc w:val="both"/>
        <w:outlineLvl w:val="0"/>
        <w:rPr>
          <w:sz w:val="24"/>
          <w:szCs w:val="24"/>
        </w:rPr>
      </w:pPr>
      <w:r>
        <w:rPr>
          <w:sz w:val="24"/>
          <w:szCs w:val="24"/>
        </w:rPr>
        <w:t>2. Інформація про замовника торгів</w:t>
      </w:r>
    </w:p>
    <w:p>
      <w:pPr>
        <w:pStyle w:val="Normal"/>
        <w:numPr>
          <w:ilvl w:val="0"/>
          <w:numId w:val="0"/>
        </w:numPr>
        <w:ind w:left="0" w:right="-25" w:firstLine="567"/>
        <w:jc w:val="both"/>
        <w:outlineLvl w:val="0"/>
        <w:rPr>
          <w:sz w:val="24"/>
          <w:szCs w:val="24"/>
        </w:rPr>
      </w:pPr>
      <w:r>
        <w:rPr>
          <w:sz w:val="24"/>
          <w:szCs w:val="24"/>
        </w:rPr>
        <w:t xml:space="preserve">3. Процедура закупівлі </w:t>
      </w:r>
    </w:p>
    <w:p>
      <w:pPr>
        <w:pStyle w:val="Normal"/>
        <w:numPr>
          <w:ilvl w:val="0"/>
          <w:numId w:val="0"/>
        </w:numPr>
        <w:ind w:left="0" w:right="-25" w:firstLine="567"/>
        <w:jc w:val="both"/>
        <w:outlineLvl w:val="0"/>
        <w:rPr>
          <w:sz w:val="24"/>
          <w:szCs w:val="24"/>
        </w:rPr>
      </w:pPr>
      <w:r>
        <w:rPr>
          <w:sz w:val="24"/>
          <w:szCs w:val="24"/>
        </w:rPr>
        <w:t>4. Інформація про предмет закупівлі</w:t>
      </w:r>
    </w:p>
    <w:p>
      <w:pPr>
        <w:pStyle w:val="Normal"/>
        <w:numPr>
          <w:ilvl w:val="0"/>
          <w:numId w:val="0"/>
        </w:numPr>
        <w:ind w:left="0" w:right="-25" w:firstLine="567"/>
        <w:jc w:val="both"/>
        <w:outlineLvl w:val="0"/>
        <w:rPr>
          <w:sz w:val="24"/>
          <w:szCs w:val="24"/>
        </w:rPr>
      </w:pPr>
      <w:r>
        <w:rPr>
          <w:sz w:val="24"/>
          <w:szCs w:val="24"/>
        </w:rPr>
        <w:t>5. Недискримінація учасників</w:t>
      </w:r>
    </w:p>
    <w:p>
      <w:pPr>
        <w:pStyle w:val="Normal"/>
        <w:numPr>
          <w:ilvl w:val="0"/>
          <w:numId w:val="0"/>
        </w:numPr>
        <w:ind w:left="0"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left="0"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left="0"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left="0"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4"/>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 xml:space="preserve">e-mail: </w:t>
            </w:r>
            <w:r>
              <w:rPr>
                <w:bCs/>
                <w:sz w:val="24"/>
                <w:szCs w:val="24"/>
                <w:lang w:val="en-US"/>
              </w:rPr>
              <w:t>sobolevsn@cv.pfu.gov.ua</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4"/>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02" w:right="162" w:firstLine="266"/>
              <w:rPr>
                <w:rFonts w:ascii="Times New Roman" w:hAnsi="Times New Roman" w:cs="Times New Roman"/>
                <w:b w:val="false"/>
                <w:b w:val="false"/>
                <w:sz w:val="24"/>
                <w:szCs w:val="24"/>
                <w:lang w:eastAsia="uk-UA"/>
              </w:rPr>
            </w:pPr>
            <w:r>
              <w:rPr>
                <w:rFonts w:cs="Times New Roman" w:ascii="Times New Roman" w:hAnsi="Times New Roman"/>
                <w:b w:val="false"/>
                <w:sz w:val="24"/>
                <w:szCs w:val="24"/>
                <w:lang w:eastAsia="ru-RU"/>
              </w:rPr>
              <w:t>Теплообмінники, кондиціонери повітря, холодильне обладнання та фільтрувальні пристрої</w:t>
            </w:r>
            <w:r>
              <w:rPr>
                <w:rFonts w:cs="Times New Roman" w:ascii="Times New Roman" w:hAnsi="Times New Roman"/>
                <w:b w:val="false"/>
                <w:sz w:val="24"/>
                <w:szCs w:val="24"/>
                <w:lang w:eastAsia="uk-UA"/>
              </w:rPr>
              <w:t>,</w:t>
            </w:r>
          </w:p>
          <w:p>
            <w:pPr>
              <w:pStyle w:val="15"/>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cs="Times New Roman" w:ascii="Times New Roman" w:hAnsi="Times New Roman"/>
                <w:b w:val="false"/>
                <w:sz w:val="24"/>
                <w:szCs w:val="24"/>
                <w:lang w:eastAsia="ru-RU"/>
              </w:rPr>
              <w:t>42510000-4</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highlight w:val="yellow"/>
                <w:lang w:eastAsia="uk-UA"/>
              </w:rPr>
            </w:pPr>
            <w:r>
              <w:rPr>
                <w:bCs/>
                <w:sz w:val="24"/>
                <w:szCs w:val="24"/>
                <w:lang w:eastAsia="uk-UA"/>
              </w:rPr>
              <w:t>не передбачено</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highlight w:val="none"/>
                <w:shd w:fill="auto" w:val="clear"/>
              </w:rPr>
            </w:pPr>
            <w:r>
              <w:rPr>
                <w:bCs/>
                <w:sz w:val="24"/>
                <w:szCs w:val="24"/>
                <w:shd w:fill="auto" w:val="clear"/>
                <w:lang w:eastAsia="uk-UA"/>
              </w:rPr>
              <w:t>до 01 грудня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4"/>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rPr>
            </w:pPr>
            <w:r>
              <w:rPr>
                <w:rFonts w:eastAsia="Times New Roman"/>
                <w:color w:val="000000"/>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highlight w:val="none"/>
                <w:shd w:fill="auto" w:val="clear"/>
              </w:rPr>
            </w:pPr>
            <w:r>
              <w:rPr>
                <w:sz w:val="24"/>
                <w:szCs w:val="24"/>
                <w:shd w:fill="auto" w:val="clear"/>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 або лист-відгук з інформацією про якість його (їх) виконання;</w:t>
            </w:r>
          </w:p>
          <w:p>
            <w:pPr>
              <w:pStyle w:val="Normal"/>
              <w:widowControl w:val="false"/>
              <w:spacing w:before="96" w:after="96"/>
              <w:ind w:left="107" w:right="113" w:firstLine="421"/>
              <w:jc w:val="both"/>
              <w:rPr>
                <w:highlight w:val="none"/>
                <w:shd w:fill="auto" w:val="clear"/>
              </w:rPr>
            </w:pPr>
            <w:r>
              <w:rPr>
                <w:sz w:val="24"/>
                <w:szCs w:val="24"/>
                <w:shd w:fill="auto" w:val="clear"/>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highlight w:val="none"/>
                <w:shd w:fill="auto" w:val="clear"/>
              </w:rPr>
            </w:pPr>
            <w:r>
              <w:rPr>
                <w:sz w:val="24"/>
                <w:szCs w:val="24"/>
                <w:shd w:fill="auto" w:val="clear"/>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hyperlink r:id="rId2">
              <w:r>
                <w:rPr>
                  <w:sz w:val="24"/>
                  <w:szCs w:val="24"/>
                </w:rPr>
                <w:t>https://corruptinfo.nazk.gov.ua/reference/getpersonalreference/ in</w:t>
              </w:r>
            </w:hyperlink>
            <w:r>
              <w:rPr>
                <w:sz w:val="24"/>
                <w:szCs w:val="24"/>
              </w:rPr>
              <w:t xml:space="preserve">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Кінцевий строк подання тендерних пропозицій</w:t>
            </w:r>
            <w:r>
              <w:rPr>
                <w:sz w:val="24"/>
                <w:szCs w:val="24"/>
                <w:shd w:fill="auto" w:val="clear"/>
              </w:rPr>
              <w:t xml:space="preserve"> </w:t>
            </w:r>
            <w:r>
              <w:rPr>
                <w:b/>
                <w:bCs/>
                <w:sz w:val="24"/>
                <w:szCs w:val="24"/>
                <w:shd w:fill="auto" w:val="clear"/>
              </w:rPr>
              <w:t>05.08.2023.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577"/>
            <w:bookmarkStart w:id="9" w:name="n104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sz w:val="26"/>
          <w:szCs w:val="26"/>
        </w:rPr>
      </w:pPr>
      <w:r>
        <w:rPr>
          <w:b/>
          <w:bCs/>
          <w:sz w:val="26"/>
          <w:szCs w:val="26"/>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b/>
          <w:b/>
          <w:bCs/>
          <w:sz w:val="26"/>
          <w:szCs w:val="26"/>
        </w:rPr>
      </w:pPr>
      <w:r>
        <w:rPr>
          <w:b/>
          <w:bCs/>
          <w:sz w:val="26"/>
          <w:szCs w:val="26"/>
        </w:rPr>
      </w:r>
    </w:p>
    <w:p>
      <w:pPr>
        <w:pStyle w:val="Normal"/>
        <w:widowControl w:val="false"/>
        <w:spacing w:before="0" w:after="120"/>
        <w:contextualSpacing/>
        <w:jc w:val="both"/>
        <w:rPr>
          <w:sz w:val="26"/>
          <w:szCs w:val="26"/>
        </w:rPr>
      </w:pPr>
      <w:r>
        <w:rPr>
          <w:b/>
          <w:bCs/>
          <w:sz w:val="26"/>
          <w:szCs w:val="26"/>
        </w:rPr>
        <w:t>Додаток 1 – Інформація про необхідні технічні, якісні та кількісні характеристики предмету закупівлі (викладено в окремому файлі);</w:t>
      </w:r>
    </w:p>
    <w:p>
      <w:pPr>
        <w:pStyle w:val="Normal"/>
        <w:widowControl w:val="false"/>
        <w:spacing w:before="0" w:after="120"/>
        <w:contextualSpacing/>
        <w:jc w:val="both"/>
        <w:rPr>
          <w:b/>
          <w:b/>
          <w:bCs/>
          <w:sz w:val="26"/>
          <w:szCs w:val="26"/>
        </w:rPr>
      </w:pPr>
      <w:r>
        <w:rPr>
          <w:b/>
          <w:bCs/>
          <w:sz w:val="26"/>
          <w:szCs w:val="26"/>
        </w:rPr>
      </w:r>
    </w:p>
    <w:p>
      <w:pPr>
        <w:pStyle w:val="Normal"/>
        <w:widowControl w:val="false"/>
        <w:spacing w:before="0" w:after="120"/>
        <w:contextualSpacing/>
        <w:jc w:val="both"/>
        <w:rPr>
          <w:sz w:val="26"/>
          <w:szCs w:val="26"/>
        </w:rPr>
      </w:pPr>
      <w:r>
        <w:rPr>
          <w:b/>
          <w:bCs/>
          <w:sz w:val="26"/>
          <w:szCs w:val="26"/>
        </w:rPr>
        <w:t>Додаток 2 – Проєкт договору (викладено в окремому файлі);</w:t>
      </w:r>
    </w:p>
    <w:p>
      <w:pPr>
        <w:pStyle w:val="Normal"/>
        <w:widowControl w:val="false"/>
        <w:spacing w:before="0" w:after="120"/>
        <w:contextualSpacing/>
        <w:jc w:val="both"/>
        <w:rPr>
          <w:b/>
          <w:b/>
          <w:bCs/>
          <w:sz w:val="26"/>
          <w:szCs w:val="26"/>
        </w:rPr>
      </w:pPr>
      <w:r>
        <w:rPr>
          <w:b/>
          <w:bCs/>
          <w:sz w:val="26"/>
          <w:szCs w:val="26"/>
        </w:rPr>
      </w:r>
    </w:p>
    <w:p>
      <w:pPr>
        <w:pStyle w:val="Normal"/>
        <w:widowControl w:val="false"/>
        <w:spacing w:before="0" w:after="120"/>
        <w:contextualSpacing/>
        <w:jc w:val="both"/>
        <w:rPr>
          <w:sz w:val="26"/>
          <w:szCs w:val="26"/>
        </w:rPr>
      </w:pPr>
      <w:r>
        <w:rPr>
          <w:b/>
          <w:bCs/>
          <w:sz w:val="26"/>
          <w:szCs w:val="26"/>
        </w:rPr>
        <w:t>Додаток 3 – Форма тендерної пропозиції (викладено в окремому файлі).</w:t>
      </w:r>
    </w:p>
    <w:p>
      <w:pPr>
        <w:pStyle w:val="Normal"/>
        <w:spacing w:before="0" w:after="120"/>
        <w:rPr>
          <w:rFonts w:ascii="Arial" w:hAnsi="Arial" w:cs="Arial"/>
        </w:rPr>
      </w:pPr>
      <w:r>
        <w:rPr/>
      </w:r>
    </w:p>
    <w:sectPr>
      <w:headerReference w:type="default" r:id="rId4"/>
      <w:type w:val="nextPage"/>
      <w:pgSz w:w="11906" w:h="16838"/>
      <w:pgMar w:left="1418" w:right="566" w:gutter="0" w:header="397" w:top="709" w:footer="0" w:bottom="426"/>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mc:AlternateContent>
        <mc:Choice Requires="wps">
          <w:drawing>
            <wp:anchor behindDoc="1" distT="0" distB="0" distL="0" distR="0" simplePos="0" locked="0" layoutInCell="0" allowOverlap="1" relativeHeight="38">
              <wp:simplePos x="0" y="0"/>
              <wp:positionH relativeFrom="margin">
                <wp:align>center</wp:align>
              </wp:positionH>
              <wp:positionV relativeFrom="paragraph">
                <wp:posOffset>635</wp:posOffset>
              </wp:positionV>
              <wp:extent cx="127635" cy="145415"/>
              <wp:effectExtent l="0" t="0" r="0" b="0"/>
              <wp:wrapSquare wrapText="largest"/>
              <wp:docPr id="1" name="Рамка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Style33"/>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20</w:t>
                          </w:r>
                          <w:r>
                            <w:rPr>
                              <w:rStyle w:val="Pagenumber"/>
                              <w:color w:val="333333"/>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243pt;margin-top:0.05pt;width:10pt;height:11.4pt;mso-wrap-style:square;v-text-anchor:top;mso-position-horizontal:center;mso-position-horizontal-relative:margin">
              <v:fill o:detectmouseclick="t" on="false"/>
              <v:stroke color="#3465a4" joinstyle="round" endcap="flat"/>
              <v:textbox>
                <w:txbxContent>
                  <w:p>
                    <w:pPr>
                      <w:pStyle w:val="Style33"/>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20</w:t>
                    </w:r>
                    <w:r>
                      <w:rPr>
                        <w:rStyle w:val="Pagenumber"/>
                        <w:color w:val="333333"/>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name w:val="Heading 1"/>
    <w:basedOn w:val="Normal"/>
    <w:next w:val="Normal"/>
    <w:link w:val="11"/>
    <w:qFormat/>
    <w:rsid w:val="00c773bf"/>
    <w:pPr>
      <w:keepNext w:val="true"/>
      <w:jc w:val="right"/>
      <w:outlineLvl w:val="0"/>
    </w:pPr>
    <w:rPr>
      <w:b/>
      <w:bCs/>
    </w:rPr>
  </w:style>
  <w:style w:type="paragraph" w:styleId="2">
    <w:name w:val="Heading 2"/>
    <w:basedOn w:val="Normal"/>
    <w:next w:val="Normal"/>
    <w:link w:val="21"/>
    <w:qFormat/>
    <w:rsid w:val="00c773bf"/>
    <w:pPr>
      <w:keepNext w:val="true"/>
      <w:jc w:val="right"/>
      <w:outlineLvl w:val="1"/>
    </w:pPr>
    <w:rPr>
      <w:b/>
      <w:bCs/>
    </w:rPr>
  </w:style>
  <w:style w:type="paragraph" w:styleId="3">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name w:val="Heading 6"/>
    <w:basedOn w:val="Normal"/>
    <w:next w:val="Normal"/>
    <w:link w:val="61"/>
    <w:qFormat/>
    <w:rsid w:val="00c773bf"/>
    <w:pPr>
      <w:keepNext w:val="true"/>
      <w:spacing w:before="60" w:after="0"/>
      <w:jc w:val="center"/>
      <w:outlineLvl w:val="5"/>
    </w:pPr>
    <w:rPr>
      <w:b/>
      <w:bCs/>
    </w:rPr>
  </w:style>
  <w:style w:type="paragraph" w:styleId="7">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uiPriority w:val="22"/>
    <w:qFormat/>
    <w:rsid w:val="00c773bf"/>
    <w:rPr>
      <w:rFonts w:cs="Times New Roman"/>
      <w:b/>
      <w:bCs/>
    </w:rPr>
  </w:style>
  <w:style w:type="character" w:styleId="Style16">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pPr/>
    <w:rPr>
      <w:rFonts w:ascii="Times New Roman" w:hAnsi="Times New Roman" w:cs="Lucida Sans"/>
    </w:rPr>
  </w:style>
  <w:style w:type="paragraph" w:styleId="Style28">
    <w:name w:val="Caption"/>
    <w:basedOn w:val="Normal"/>
    <w:qFormat/>
    <w:pPr>
      <w:suppressLineNumbers/>
      <w:spacing w:before="120" w:after="120"/>
    </w:pPr>
    <w:rPr>
      <w:rFonts w:ascii="Times New Roman" w:hAnsi="Times New Roman"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name w:val="Верхній і нижній колонтитули"/>
    <w:basedOn w:val="Normal"/>
    <w:qFormat/>
    <w:pPr/>
    <w:rPr/>
  </w:style>
  <w:style w:type="paragraph" w:styleId="Style33">
    <w:name w:val="Header"/>
    <w:basedOn w:val="Normal"/>
    <w:link w:val="Style11"/>
    <w:rsid w:val="00c773bf"/>
    <w:pPr>
      <w:tabs>
        <w:tab w:val="clear" w:pos="709"/>
        <w:tab w:val="center" w:pos="4819" w:leader="none"/>
        <w:tab w:val="right" w:pos="9639" w:leader="none"/>
      </w:tabs>
    </w:pPr>
    <w:rPr/>
  </w:style>
  <w:style w:type="paragraph" w:styleId="Style34">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39" w:customStyle="1">
    <w:name w:val="Содержимое таблицы"/>
    <w:basedOn w:val="Normal"/>
    <w:qFormat/>
    <w:rsid w:val="00cc455e"/>
    <w:pPr>
      <w:widowControl w:val="false"/>
      <w:suppressAutoHyphens w:val="tru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suppressAutoHyphens w:val="tru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uppressAutoHyphens w:val="true"/>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pPr>
    <w:rPr>
      <w:rFonts w:eastAsia="Times New Roman"/>
      <w:color w:val="FF0000"/>
      <w:sz w:val="24"/>
      <w:szCs w:val="24"/>
      <w:lang w:eastAsia="zh-CN"/>
    </w:rPr>
  </w:style>
  <w:style w:type="paragraph" w:styleId="Style310" w:customStyle="1">
    <w:name w:val="Style3"/>
    <w:basedOn w:val="Normal"/>
    <w:qFormat/>
    <w:rsid w:val="00c00c8d"/>
    <w:pPr>
      <w:widowControl w:val="false"/>
      <w:suppressAutoHyphens w:val="tru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suppressAutoHyphens w:val="true"/>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ruptinfo.nazk.gov.ua/reference/getpersonalreference/ in" TargetMode="External"/><Relationship Id="rId3" Type="http://schemas.openxmlformats.org/officeDocument/2006/relationships/hyperlink" Target="https://corruptinfo.nazk.gov.ua/reference/getpersonalreference/lega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LibreOffice/7.3.0.3$Windows_X86_64 LibreOffice_project/0f246aa12d0eee4a0f7adcefbf7c878fc2238db3</Application>
  <AppVersion>15.0000</AppVersion>
  <Pages>20</Pages>
  <Words>6712</Words>
  <Characters>46633</Characters>
  <CharactersWithSpaces>53083</CharactersWithSpaces>
  <Paragraphs>294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2023-07-28T14:55:24Z</dcterms:modified>
  <cp:revision>31</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