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5864F8" w:rsidTr="007E399B">
        <w:trPr>
          <w:trHeight w:val="800"/>
          <w:jc w:val="right"/>
        </w:trPr>
        <w:tc>
          <w:tcPr>
            <w:tcW w:w="3979" w:type="dxa"/>
            <w:shd w:val="clear" w:color="auto" w:fill="auto"/>
            <w:tcMar>
              <w:top w:w="80" w:type="dxa"/>
              <w:left w:w="80" w:type="dxa"/>
              <w:bottom w:w="80" w:type="dxa"/>
              <w:right w:w="80" w:type="dxa"/>
            </w:tcMar>
            <w:hideMark/>
          </w:tcPr>
          <w:p w:rsidR="00CC3DF2" w:rsidRPr="005864F8" w:rsidRDefault="00CC3DF2" w:rsidP="007E399B">
            <w:pPr>
              <w:pStyle w:val="a4"/>
              <w:spacing w:line="276" w:lineRule="auto"/>
              <w:rPr>
                <w:rFonts w:eastAsia="Arial Unicode MS" w:cs="Arial Unicode MS"/>
                <w:bCs/>
                <w:lang w:val="ru-RU"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w:t>
            </w:r>
            <w:r w:rsidRPr="005864F8">
              <w:rPr>
                <w:rFonts w:eastAsia="Arial Unicode MS" w:cs="Arial Unicode MS"/>
                <w:bCs/>
                <w:lang w:eastAsia="en-US"/>
              </w:rPr>
              <w:t xml:space="preserve">особи № </w:t>
            </w:r>
            <w:r w:rsidR="005864F8" w:rsidRPr="005864F8">
              <w:rPr>
                <w:rFonts w:eastAsia="Arial Unicode MS" w:cs="Arial Unicode MS"/>
                <w:bCs/>
                <w:lang w:val="ru-RU" w:eastAsia="en-US"/>
              </w:rPr>
              <w:t>68</w:t>
            </w:r>
          </w:p>
          <w:p w:rsidR="00CC3DF2" w:rsidRDefault="00CC3DF2" w:rsidP="005864F8">
            <w:pPr>
              <w:pStyle w:val="a4"/>
              <w:spacing w:line="276" w:lineRule="auto"/>
              <w:rPr>
                <w:rFonts w:eastAsia="Arial Unicode MS" w:cs="Arial Unicode MS"/>
                <w:b/>
                <w:bCs/>
                <w:lang w:eastAsia="en-US"/>
              </w:rPr>
            </w:pPr>
            <w:r w:rsidRPr="005864F8">
              <w:rPr>
                <w:rFonts w:eastAsia="Arial Unicode MS" w:cs="Arial Unicode MS"/>
                <w:bCs/>
                <w:lang w:eastAsia="en-US"/>
              </w:rPr>
              <w:t xml:space="preserve">від </w:t>
            </w:r>
            <w:r w:rsidR="005864F8" w:rsidRPr="005864F8">
              <w:rPr>
                <w:rFonts w:eastAsia="Arial Unicode MS" w:cs="Arial Unicode MS"/>
                <w:bCs/>
                <w:lang w:val="ru-RU" w:eastAsia="en-US"/>
              </w:rPr>
              <w:t>14</w:t>
            </w:r>
            <w:r w:rsidR="005864F8" w:rsidRPr="005864F8">
              <w:rPr>
                <w:rFonts w:eastAsia="Arial Unicode MS" w:cs="Arial Unicode MS"/>
                <w:bCs/>
                <w:lang w:eastAsia="en-US"/>
              </w:rPr>
              <w:t xml:space="preserve"> липня </w:t>
            </w:r>
            <w:r w:rsidRPr="005864F8">
              <w:rPr>
                <w:rFonts w:eastAsia="Arial Unicode MS" w:cs="Arial Unicode MS"/>
                <w:bCs/>
                <w:lang w:eastAsia="en-US"/>
              </w:rPr>
              <w:t>202</w:t>
            </w:r>
            <w:r w:rsidR="00767467" w:rsidRPr="005864F8">
              <w:rPr>
                <w:rFonts w:eastAsia="Arial Unicode MS" w:cs="Arial Unicode MS"/>
                <w:bCs/>
                <w:lang w:eastAsia="en-US"/>
              </w:rPr>
              <w:t>3</w:t>
            </w:r>
            <w:r w:rsidRPr="005864F8">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 xml:space="preserve">ДК 021:2015 – </w:t>
      </w:r>
      <w:r w:rsidR="00B1502C" w:rsidRPr="00B1502C">
        <w:rPr>
          <w:color w:val="auto"/>
          <w:sz w:val="28"/>
          <w:szCs w:val="28"/>
          <w:shd w:val="clear" w:color="auto" w:fill="FFFFFF"/>
        </w:rPr>
        <w:t>021:2015:14210000-6</w:t>
      </w:r>
      <w:r w:rsidRPr="00403961">
        <w:rPr>
          <w:b/>
          <w:sz w:val="28"/>
          <w:szCs w:val="28"/>
        </w:rPr>
        <w:t>-</w:t>
      </w:r>
      <w:r w:rsidR="00B1502C" w:rsidRPr="00B1502C">
        <w:rPr>
          <w:b/>
          <w:sz w:val="28"/>
          <w:szCs w:val="28"/>
        </w:rPr>
        <w:t xml:space="preserve"> </w:t>
      </w:r>
      <w:r w:rsidR="00B1502C">
        <w:rPr>
          <w:b/>
          <w:sz w:val="28"/>
          <w:szCs w:val="28"/>
        </w:rPr>
        <w:t>Гравій, пісок, щебінь і наповнювачі</w:t>
      </w:r>
      <w:r w:rsidRPr="00403961">
        <w:rPr>
          <w:b/>
          <w:sz w:val="28"/>
          <w:szCs w:val="28"/>
        </w:rPr>
        <w:t xml:space="preserve"> </w:t>
      </w:r>
      <w:r w:rsidR="00B1502C">
        <w:rPr>
          <w:b/>
          <w:sz w:val="28"/>
          <w:szCs w:val="28"/>
        </w:rPr>
        <w:t>(Щебінь фракції 20х40)</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B1502C" w:rsidRDefault="00B1502C" w:rsidP="00CC3DF2">
      <w:pPr>
        <w:pStyle w:val="a4"/>
        <w:jc w:val="center"/>
        <w:rPr>
          <w:b/>
          <w:bCs/>
          <w:sz w:val="28"/>
          <w:szCs w:val="28"/>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5864F8">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1502C" w:rsidRPr="00B1502C" w:rsidRDefault="00B1502C" w:rsidP="00B1502C">
            <w:pPr>
              <w:pStyle w:val="a4"/>
              <w:rPr>
                <w:bCs/>
                <w:sz w:val="22"/>
                <w:szCs w:val="22"/>
              </w:rPr>
            </w:pPr>
            <w:r w:rsidRPr="00B1502C">
              <w:rPr>
                <w:sz w:val="22"/>
                <w:szCs w:val="22"/>
              </w:rPr>
              <w:t xml:space="preserve">Код ДК 021:2015 – </w:t>
            </w:r>
            <w:r w:rsidRPr="00B1502C">
              <w:rPr>
                <w:color w:val="auto"/>
                <w:sz w:val="22"/>
                <w:szCs w:val="22"/>
                <w:shd w:val="clear" w:color="auto" w:fill="FFFFFF"/>
              </w:rPr>
              <w:t>021:2015:14210000-6</w:t>
            </w:r>
            <w:r w:rsidRPr="00B1502C">
              <w:rPr>
                <w:sz w:val="22"/>
                <w:szCs w:val="22"/>
              </w:rPr>
              <w:t>- Гравій, пісок, щебінь і наповнювачі (Щебінь фракції 20х40)</w:t>
            </w:r>
          </w:p>
          <w:p w:rsidR="00CC3DF2" w:rsidRPr="00ED5B29" w:rsidRDefault="00CC3DF2" w:rsidP="007E399B">
            <w:pPr>
              <w:spacing w:before="150" w:after="150" w:line="0" w:lineRule="atLeast"/>
              <w:rPr>
                <w:rFonts w:eastAsia="Times New Roman"/>
                <w:lang w:val="uk-UA" w:eastAsia="ru-RU"/>
              </w:rPr>
            </w:pP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1F3C98" w:rsidRDefault="00CC3DF2" w:rsidP="007E399B">
            <w:pPr>
              <w:spacing w:before="150" w:after="150"/>
              <w:rPr>
                <w:rFonts w:eastAsia="Times New Roman"/>
                <w:lang w:val="uk-UA" w:eastAsia="ru-RU"/>
              </w:rPr>
            </w:pPr>
            <w:r w:rsidRPr="001F3C98">
              <w:rPr>
                <w:rFonts w:eastAsia="Times New Roman"/>
                <w:color w:val="000000"/>
                <w:lang w:val="ru-RU" w:eastAsia="ru-RU"/>
              </w:rPr>
              <w:t xml:space="preserve">Місце поставки: </w:t>
            </w:r>
            <w:r w:rsidR="00ED5B29" w:rsidRPr="001F3C98">
              <w:rPr>
                <w:rFonts w:eastAsia="Times New Roman"/>
                <w:color w:val="000000"/>
                <w:lang w:val="uk-UA" w:eastAsia="ru-RU"/>
              </w:rPr>
              <w:t xml:space="preserve">м. </w:t>
            </w:r>
            <w:r w:rsidR="000F2162" w:rsidRPr="001F3C98">
              <w:rPr>
                <w:rFonts w:eastAsia="Times New Roman"/>
                <w:color w:val="000000"/>
                <w:lang w:val="uk-UA" w:eastAsia="ru-RU"/>
              </w:rPr>
              <w:t>Славутич, Київська обл., вул.. Військових будівельників, 11</w:t>
            </w:r>
          </w:p>
          <w:p w:rsidR="00CC3DF2" w:rsidRPr="001F3C98" w:rsidRDefault="00CC3DF2" w:rsidP="00B1502C">
            <w:pPr>
              <w:spacing w:before="150" w:after="150" w:line="0" w:lineRule="atLeast"/>
              <w:rPr>
                <w:rFonts w:eastAsia="Times New Roman"/>
                <w:color w:val="000000"/>
                <w:lang w:val="uk-UA" w:eastAsia="ru-RU"/>
              </w:rPr>
            </w:pPr>
            <w:r w:rsidRPr="001F3C98">
              <w:rPr>
                <w:rFonts w:eastAsia="Times New Roman"/>
                <w:color w:val="000000"/>
                <w:lang w:val="ru-RU" w:eastAsia="ru-RU"/>
              </w:rPr>
              <w:t xml:space="preserve">Кількість товару: </w:t>
            </w:r>
          </w:p>
          <w:p w:rsidR="00B1502C" w:rsidRPr="00ED5B29" w:rsidRDefault="00632BCF" w:rsidP="000F2162">
            <w:pPr>
              <w:spacing w:before="150" w:after="150" w:line="0" w:lineRule="atLeast"/>
              <w:rPr>
                <w:rFonts w:eastAsia="Times New Roman"/>
                <w:lang w:val="uk-UA" w:eastAsia="ru-RU"/>
              </w:rPr>
            </w:pPr>
            <w:r w:rsidRPr="001F3C98">
              <w:rPr>
                <w:rFonts w:eastAsia="Times New Roman"/>
                <w:color w:val="000000"/>
                <w:lang w:val="uk-UA" w:eastAsia="ru-RU"/>
              </w:rPr>
              <w:t xml:space="preserve">-Щебінь фракції 20х40 – </w:t>
            </w:r>
            <w:r w:rsidR="000F2162" w:rsidRPr="001F3C98">
              <w:rPr>
                <w:rFonts w:eastAsia="Times New Roman"/>
                <w:color w:val="000000"/>
                <w:lang w:val="uk-UA" w:eastAsia="ru-RU"/>
              </w:rPr>
              <w:t>63</w:t>
            </w:r>
            <w:r w:rsidRPr="001F3C98">
              <w:rPr>
                <w:rFonts w:eastAsia="Times New Roman"/>
                <w:color w:val="000000"/>
                <w:lang w:val="uk-UA" w:eastAsia="ru-RU"/>
              </w:rPr>
              <w:t xml:space="preserve"> тон;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31.12.2023 року</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5864F8"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8A7395">
              <w:rPr>
                <w:rFonts w:eastAsia="Times New Roman"/>
                <w:lang w:val="uk-UA" w:eastAsia="ru-RU"/>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5864F8"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B1502C" w:rsidRDefault="00DF60C9" w:rsidP="00CC3DF2">
            <w:pPr>
              <w:numPr>
                <w:ilvl w:val="0"/>
                <w:numId w:val="3"/>
              </w:numPr>
              <w:jc w:val="both"/>
              <w:textAlignment w:val="baseline"/>
              <w:rPr>
                <w:rFonts w:eastAsia="Times New Roman"/>
                <w:color w:val="000000"/>
                <w:lang w:val="uk-UA" w:eastAsia="ru-RU"/>
              </w:rPr>
            </w:pPr>
            <w:r w:rsidRPr="00B1502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1502C">
              <w:rPr>
                <w:rFonts w:eastAsia="Times New Roman"/>
                <w:b/>
                <w:color w:val="000000"/>
                <w:lang w:val="uk-UA" w:eastAsia="ru-RU"/>
              </w:rPr>
              <w:t xml:space="preserve">Додатку № 3 </w:t>
            </w:r>
            <w:r w:rsidRPr="00B1502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 про створення такого об’єднання (у разі якщо тендерна пропозиція </w:t>
            </w:r>
            <w:proofErr w:type="gramStart"/>
            <w:r w:rsidRPr="00CC3DF2">
              <w:rPr>
                <w:rFonts w:eastAsia="Times New Roman"/>
                <w:color w:val="000000"/>
                <w:lang w:val="ru-RU" w:eastAsia="ru-RU"/>
              </w:rPr>
              <w:t>подається</w:t>
            </w:r>
            <w:proofErr w:type="gramEnd"/>
            <w:r w:rsidRPr="00CC3DF2">
              <w:rPr>
                <w:rFonts w:eastAsia="Times New Roman"/>
                <w:color w:val="000000"/>
                <w:lang w:val="ru-RU" w:eastAsia="ru-RU"/>
              </w:rPr>
              <w:t xml:space="preserve">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Учасник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Львів»;</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5864F8"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Pr>
                <w:rFonts w:eastAsia="Times New Roman"/>
                <w:color w:val="000000"/>
                <w:lang w:val="ru-RU" w:eastAsia="ru-RU"/>
              </w:rPr>
              <w:t>визначається електронною системою</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F60C9" w:rsidRPr="005864F8"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5864F8"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668A1"/>
    <w:rsid w:val="000931A0"/>
    <w:rsid w:val="000D52E5"/>
    <w:rsid w:val="000F2162"/>
    <w:rsid w:val="00107355"/>
    <w:rsid w:val="001F3C98"/>
    <w:rsid w:val="00283452"/>
    <w:rsid w:val="00287C12"/>
    <w:rsid w:val="00380648"/>
    <w:rsid w:val="00395674"/>
    <w:rsid w:val="003A3140"/>
    <w:rsid w:val="00414F1A"/>
    <w:rsid w:val="00506631"/>
    <w:rsid w:val="005864F8"/>
    <w:rsid w:val="005C780B"/>
    <w:rsid w:val="00632BCF"/>
    <w:rsid w:val="00767467"/>
    <w:rsid w:val="00785D34"/>
    <w:rsid w:val="007E399B"/>
    <w:rsid w:val="00810B7C"/>
    <w:rsid w:val="00870318"/>
    <w:rsid w:val="008960B0"/>
    <w:rsid w:val="009A7938"/>
    <w:rsid w:val="00B1502C"/>
    <w:rsid w:val="00C575CD"/>
    <w:rsid w:val="00CC3DF2"/>
    <w:rsid w:val="00CC5045"/>
    <w:rsid w:val="00CD1BB0"/>
    <w:rsid w:val="00D10661"/>
    <w:rsid w:val="00D75FF4"/>
    <w:rsid w:val="00DF60C9"/>
    <w:rsid w:val="00E71955"/>
    <w:rsid w:val="00EC088D"/>
    <w:rsid w:val="00EC5677"/>
    <w:rsid w:val="00ED5B29"/>
    <w:rsid w:val="00F4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5982</Words>
  <Characters>34099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11</cp:revision>
  <cp:lastPrinted>2023-03-15T13:47:00Z</cp:lastPrinted>
  <dcterms:created xsi:type="dcterms:W3CDTF">2023-07-12T05:55:00Z</dcterms:created>
  <dcterms:modified xsi:type="dcterms:W3CDTF">2023-07-17T11:32:00Z</dcterms:modified>
</cp:coreProperties>
</file>