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9A" w:rsidRDefault="00DE009A" w:rsidP="00DE009A">
      <w:pPr>
        <w:pStyle w:val="31"/>
        <w:shd w:val="clear" w:color="auto" w:fill="auto"/>
        <w:ind w:left="20"/>
      </w:pPr>
      <w:bookmarkStart w:id="0" w:name="_Hlk84258333"/>
      <w:bookmarkStart w:id="1" w:name="_Hlk37689513"/>
      <w:r>
        <w:rPr>
          <w:rFonts w:eastAsia="Arial"/>
          <w:b w:val="0"/>
          <w:color w:val="000000"/>
        </w:rPr>
        <w:t>Заклад загальної середньої освіти 1-111 ступенів – ліцей  с. Стрілки Стрілківської сільської ради  Самбірського району Львівської</w:t>
      </w:r>
    </w:p>
    <w:p w:rsidR="00DE009A" w:rsidRPr="00905221" w:rsidRDefault="00DE009A" w:rsidP="00DE009A">
      <w:pPr>
        <w:ind w:left="-1418"/>
        <w:rPr>
          <w:rFonts w:ascii="Times New Roman" w:eastAsia="Times New Roman" w:hAnsi="Times New Roman" w:cs="Times New Roman"/>
          <w:b/>
          <w:i/>
          <w:sz w:val="24"/>
          <w:szCs w:val="24"/>
          <w:highlight w:val="yellow"/>
        </w:rPr>
      </w:pPr>
    </w:p>
    <w:p w:rsidR="00DE009A" w:rsidRDefault="00DE009A" w:rsidP="00DE009A">
      <w:pPr>
        <w:ind w:left="-1418"/>
        <w:jc w:val="center"/>
        <w:rPr>
          <w:rFonts w:ascii="Times New Roman" w:eastAsia="Times New Roman" w:hAnsi="Times New Roman" w:cs="Times New Roman"/>
          <w:b/>
          <w:color w:val="000000"/>
          <w:sz w:val="24"/>
          <w:szCs w:val="24"/>
        </w:rPr>
      </w:pPr>
    </w:p>
    <w:p w:rsidR="00DE009A" w:rsidRDefault="00DE009A" w:rsidP="00DE009A">
      <w:pPr>
        <w:ind w:left="-1418"/>
        <w:jc w:val="right"/>
        <w:rPr>
          <w:rFonts w:ascii="Times New Roman" w:eastAsia="Times New Roman" w:hAnsi="Times New Roman" w:cs="Times New Roman"/>
          <w:b/>
          <w:color w:val="000000"/>
          <w:sz w:val="24"/>
          <w:szCs w:val="24"/>
        </w:rPr>
      </w:pPr>
    </w:p>
    <w:p w:rsidR="00DE009A" w:rsidRDefault="00DE009A" w:rsidP="00DE009A">
      <w:pPr>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009A" w:rsidRPr="004C638C" w:rsidRDefault="00DE009A" w:rsidP="00DE009A">
      <w:pPr>
        <w:ind w:left="-1418"/>
        <w:jc w:val="right"/>
        <w:rPr>
          <w:rFonts w:ascii="Times New Roman" w:eastAsia="Times New Roman" w:hAnsi="Times New Roman" w:cs="Times New Roman"/>
          <w:b/>
          <w:sz w:val="24"/>
          <w:szCs w:val="24"/>
          <w:highlight w:val="white"/>
        </w:rPr>
      </w:pPr>
      <w:r w:rsidRPr="004C638C">
        <w:rPr>
          <w:rFonts w:ascii="Times New Roman" w:eastAsia="Times New Roman" w:hAnsi="Times New Roman" w:cs="Times New Roman"/>
          <w:b/>
          <w:color w:val="000000"/>
          <w:sz w:val="24"/>
          <w:szCs w:val="24"/>
          <w:highlight w:val="white"/>
        </w:rPr>
        <w:t>ПротоколУповноваженої особи</w:t>
      </w:r>
    </w:p>
    <w:p w:rsidR="00DE009A" w:rsidRPr="004C638C" w:rsidRDefault="00DE009A" w:rsidP="00DE009A">
      <w:pPr>
        <w:ind w:left="-1418"/>
        <w:jc w:val="right"/>
        <w:rPr>
          <w:rFonts w:ascii="Times New Roman" w:eastAsia="Arial" w:hAnsi="Times New Roman" w:cs="Times New Roman"/>
          <w:b/>
          <w:color w:val="000000"/>
        </w:rPr>
      </w:pPr>
      <w:r w:rsidRPr="004C638C">
        <w:rPr>
          <w:rFonts w:ascii="Times New Roman" w:eastAsia="Arial" w:hAnsi="Times New Roman" w:cs="Times New Roman"/>
          <w:b/>
          <w:color w:val="000000"/>
        </w:rPr>
        <w:t xml:space="preserve">Заклад загальної середньої освіти 1-111 ступенів – ліцей  </w:t>
      </w:r>
    </w:p>
    <w:p w:rsidR="00DE009A" w:rsidRPr="004C638C" w:rsidRDefault="00DE009A" w:rsidP="00DE009A">
      <w:pPr>
        <w:ind w:left="-1418"/>
        <w:jc w:val="right"/>
        <w:rPr>
          <w:rFonts w:ascii="Times New Roman" w:eastAsia="Arial" w:hAnsi="Times New Roman" w:cs="Times New Roman"/>
          <w:b/>
          <w:color w:val="000000"/>
        </w:rPr>
      </w:pPr>
      <w:r w:rsidRPr="004C638C">
        <w:rPr>
          <w:rFonts w:ascii="Times New Roman" w:eastAsia="Arial" w:hAnsi="Times New Roman" w:cs="Times New Roman"/>
          <w:b/>
          <w:color w:val="000000"/>
        </w:rPr>
        <w:t xml:space="preserve">с. Стрілки Стрілківської сільської ради </w:t>
      </w:r>
    </w:p>
    <w:p w:rsidR="00DE009A" w:rsidRPr="004C638C" w:rsidRDefault="00DE009A" w:rsidP="00DE009A">
      <w:pPr>
        <w:ind w:left="-1418"/>
        <w:jc w:val="right"/>
        <w:rPr>
          <w:rFonts w:ascii="Times New Roman" w:eastAsia="Times New Roman" w:hAnsi="Times New Roman" w:cs="Times New Roman"/>
          <w:b/>
          <w:sz w:val="24"/>
          <w:szCs w:val="24"/>
        </w:rPr>
      </w:pPr>
      <w:r w:rsidRPr="004C638C">
        <w:rPr>
          <w:rFonts w:ascii="Times New Roman" w:eastAsia="Arial" w:hAnsi="Times New Roman" w:cs="Times New Roman"/>
          <w:b/>
          <w:color w:val="000000"/>
        </w:rPr>
        <w:t xml:space="preserve"> Самбірського району Львівської</w:t>
      </w:r>
    </w:p>
    <w:p w:rsidR="00DE009A" w:rsidRPr="004C638C" w:rsidRDefault="00C60A39" w:rsidP="00DE009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35050">
        <w:rPr>
          <w:rFonts w:ascii="Times New Roman" w:eastAsia="Times New Roman" w:hAnsi="Times New Roman" w:cs="Times New Roman"/>
          <w:sz w:val="24"/>
          <w:szCs w:val="24"/>
        </w:rPr>
        <w:t>.01.2023</w:t>
      </w:r>
      <w:r w:rsidR="00DE009A" w:rsidRPr="004C638C">
        <w:rPr>
          <w:rFonts w:ascii="Times New Roman" w:eastAsia="Times New Roman" w:hAnsi="Times New Roman" w:cs="Times New Roman"/>
          <w:sz w:val="24"/>
          <w:szCs w:val="24"/>
        </w:rPr>
        <w:t xml:space="preserve"> №</w:t>
      </w:r>
      <w:r w:rsidR="00835050">
        <w:rPr>
          <w:rFonts w:ascii="Times New Roman" w:eastAsia="Times New Roman" w:hAnsi="Times New Roman" w:cs="Times New Roman"/>
          <w:sz w:val="24"/>
          <w:szCs w:val="24"/>
        </w:rPr>
        <w:t>49</w:t>
      </w:r>
    </w:p>
    <w:bookmarkEnd w:id="0"/>
    <w:bookmarkEnd w:id="1"/>
    <w:p w:rsidR="00C80AC7" w:rsidRDefault="00C80AC7" w:rsidP="00261737">
      <w:pPr>
        <w:jc w:val="center"/>
        <w:rPr>
          <w:rFonts w:ascii="Times New Roman" w:hAnsi="Times New Roman" w:cs="Times New Roman"/>
          <w:b/>
          <w:sz w:val="26"/>
          <w:szCs w:val="26"/>
        </w:rPr>
      </w:pPr>
    </w:p>
    <w:p w:rsidR="00C80AC7" w:rsidRDefault="00C80AC7" w:rsidP="00261737">
      <w:pPr>
        <w:jc w:val="center"/>
        <w:rPr>
          <w:rFonts w:ascii="Times New Roman" w:hAnsi="Times New Roman" w:cs="Times New Roman"/>
          <w:b/>
          <w:sz w:val="26"/>
          <w:szCs w:val="26"/>
        </w:rPr>
      </w:pPr>
    </w:p>
    <w:p w:rsidR="00C80AC7" w:rsidRDefault="00C80AC7" w:rsidP="00261737">
      <w:pPr>
        <w:jc w:val="center"/>
        <w:rPr>
          <w:rFonts w:ascii="Times New Roman" w:hAnsi="Times New Roman" w:cs="Times New Roman"/>
          <w:b/>
          <w:sz w:val="26"/>
          <w:szCs w:val="26"/>
        </w:rPr>
      </w:pPr>
    </w:p>
    <w:p w:rsidR="00C80AC7" w:rsidRDefault="00C80AC7" w:rsidP="00261737">
      <w:pPr>
        <w:jc w:val="center"/>
        <w:rPr>
          <w:rFonts w:ascii="Times New Roman" w:hAnsi="Times New Roman" w:cs="Times New Roman"/>
          <w:b/>
          <w:sz w:val="26"/>
          <w:szCs w:val="26"/>
        </w:rPr>
      </w:pPr>
    </w:p>
    <w:p w:rsidR="00C80AC7" w:rsidRDefault="00C80AC7" w:rsidP="00261737">
      <w:pPr>
        <w:jc w:val="center"/>
        <w:rPr>
          <w:rFonts w:ascii="Times New Roman" w:hAnsi="Times New Roman" w:cs="Times New Roman"/>
          <w:b/>
          <w:sz w:val="26"/>
          <w:szCs w:val="26"/>
        </w:rPr>
      </w:pPr>
    </w:p>
    <w:p w:rsidR="00C80AC7" w:rsidRDefault="00C80AC7" w:rsidP="00261737">
      <w:pPr>
        <w:jc w:val="center"/>
        <w:rPr>
          <w:rFonts w:ascii="Times New Roman" w:hAnsi="Times New Roman" w:cs="Times New Roman"/>
          <w:b/>
          <w:sz w:val="26"/>
          <w:szCs w:val="26"/>
        </w:rPr>
      </w:pPr>
    </w:p>
    <w:p w:rsidR="00C80AC7" w:rsidRPr="00CC07F7" w:rsidRDefault="00C80AC7" w:rsidP="00261737">
      <w:pPr>
        <w:jc w:val="center"/>
        <w:rPr>
          <w:rFonts w:ascii="Times New Roman" w:hAnsi="Times New Roman" w:cs="Times New Roman"/>
          <w:b/>
          <w:sz w:val="26"/>
          <w:szCs w:val="26"/>
        </w:rPr>
      </w:pPr>
    </w:p>
    <w:p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tblPr>
      <w:tblGrid>
        <w:gridCol w:w="9355"/>
      </w:tblGrid>
      <w:tr w:rsidR="00261737" w:rsidRPr="00C80AC7" w:rsidTr="00F65B6D">
        <w:tc>
          <w:tcPr>
            <w:tcW w:w="9355" w:type="dxa"/>
            <w:tcBorders>
              <w:top w:val="nil"/>
              <w:left w:val="nil"/>
              <w:bottom w:val="nil"/>
              <w:right w:val="nil"/>
            </w:tcBorders>
          </w:tcPr>
          <w:p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rsidTr="00F65B6D">
        <w:tc>
          <w:tcPr>
            <w:tcW w:w="9355" w:type="dxa"/>
            <w:tcBorders>
              <w:top w:val="nil"/>
              <w:left w:val="nil"/>
              <w:bottom w:val="nil"/>
              <w:right w:val="nil"/>
            </w:tcBorders>
          </w:tcPr>
          <w:p w:rsidR="00261737" w:rsidRPr="009D05A1" w:rsidRDefault="00261737" w:rsidP="00F65B6D">
            <w:pPr>
              <w:jc w:val="center"/>
              <w:rPr>
                <w:rFonts w:ascii="Times New Roman" w:hAnsi="Times New Roman"/>
                <w:b/>
                <w:bCs/>
                <w:sz w:val="32"/>
                <w:szCs w:val="32"/>
              </w:rPr>
            </w:pPr>
          </w:p>
        </w:tc>
      </w:tr>
    </w:tbl>
    <w:p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rsidR="00261737" w:rsidRDefault="00261737" w:rsidP="00261737">
      <w:pPr>
        <w:jc w:val="center"/>
        <w:rPr>
          <w:rFonts w:ascii="Times New Roman" w:hAnsi="Times New Roman"/>
          <w:b/>
          <w:bCs/>
          <w:sz w:val="32"/>
          <w:szCs w:val="32"/>
        </w:rPr>
      </w:pPr>
    </w:p>
    <w:p w:rsidR="0051613A" w:rsidRPr="0010503F" w:rsidRDefault="0051613A" w:rsidP="0051613A">
      <w:pPr>
        <w:pStyle w:val="a8"/>
        <w:jc w:val="center"/>
        <w:rPr>
          <w:rFonts w:ascii="Times New Roman" w:hAnsi="Times New Roman"/>
          <w:b/>
          <w:bCs/>
          <w:i/>
          <w:sz w:val="32"/>
          <w:szCs w:val="32"/>
        </w:rPr>
      </w:pPr>
      <w:r w:rsidRPr="000E044A">
        <w:rPr>
          <w:rFonts w:ascii="Times New Roman" w:hAnsi="Times New Roman"/>
          <w:b/>
          <w:bCs/>
          <w:i/>
          <w:sz w:val="32"/>
          <w:szCs w:val="32"/>
        </w:rPr>
        <w:t>Вугілля кам’яне</w:t>
      </w:r>
    </w:p>
    <w:p w:rsidR="0051613A" w:rsidRPr="000E044A" w:rsidRDefault="0051613A" w:rsidP="0051613A">
      <w:pPr>
        <w:pStyle w:val="a8"/>
        <w:jc w:val="center"/>
        <w:rPr>
          <w:rFonts w:ascii="Times New Roman" w:hAnsi="Times New Roman"/>
          <w:b/>
          <w:bCs/>
          <w:i/>
          <w:sz w:val="32"/>
          <w:szCs w:val="32"/>
          <w:lang w:eastAsia="ar-SA"/>
        </w:rPr>
      </w:pPr>
      <w:r w:rsidRPr="000E044A">
        <w:rPr>
          <w:rFonts w:ascii="Times New Roman" w:hAnsi="Times New Roman"/>
          <w:b/>
          <w:bCs/>
          <w:i/>
          <w:sz w:val="32"/>
          <w:szCs w:val="32"/>
        </w:rPr>
        <w:t>(</w:t>
      </w:r>
      <w:r w:rsidRPr="000E044A">
        <w:rPr>
          <w:rFonts w:ascii="Times New Roman" w:hAnsi="Times New Roman"/>
          <w:b/>
          <w:bCs/>
          <w:i/>
          <w:sz w:val="32"/>
          <w:szCs w:val="32"/>
          <w:lang w:eastAsia="ar-SA"/>
        </w:rPr>
        <w:t>код ДК 021:2015: 09110000-3 - Тверде паливо)</w:t>
      </w:r>
    </w:p>
    <w:p w:rsidR="0051613A" w:rsidRPr="000E044A" w:rsidRDefault="0051613A" w:rsidP="0051613A">
      <w:pPr>
        <w:jc w:val="center"/>
        <w:rPr>
          <w:rFonts w:ascii="Times New Roman" w:hAnsi="Times New Roman"/>
          <w:b/>
          <w:bCs/>
          <w:sz w:val="32"/>
          <w:szCs w:val="32"/>
        </w:rPr>
      </w:pPr>
    </w:p>
    <w:p w:rsidR="00261737" w:rsidRPr="000E044A" w:rsidRDefault="00261737" w:rsidP="00261737">
      <w:pPr>
        <w:jc w:val="center"/>
        <w:rPr>
          <w:rFonts w:ascii="Times New Roman" w:hAnsi="Times New Roman"/>
          <w:b/>
          <w:bCs/>
          <w:sz w:val="32"/>
          <w:szCs w:val="32"/>
        </w:rPr>
      </w:pPr>
    </w:p>
    <w:p w:rsidR="00261737" w:rsidRPr="00CC07F7" w:rsidRDefault="00261737" w:rsidP="00261737">
      <w:pPr>
        <w:pStyle w:val="a8"/>
        <w:jc w:val="center"/>
        <w:rPr>
          <w:rFonts w:ascii="Times New Roman" w:hAnsi="Times New Roman"/>
          <w:bCs/>
          <w:sz w:val="26"/>
          <w:szCs w:val="26"/>
        </w:rPr>
      </w:pPr>
    </w:p>
    <w:p w:rsidR="00261737" w:rsidRPr="00CC07F7" w:rsidRDefault="00261737" w:rsidP="00261737">
      <w:pPr>
        <w:pStyle w:val="a8"/>
        <w:jc w:val="center"/>
        <w:rPr>
          <w:rFonts w:ascii="Times New Roman" w:hAnsi="Times New Roman"/>
          <w:bCs/>
          <w:sz w:val="26"/>
          <w:szCs w:val="26"/>
        </w:rPr>
      </w:pPr>
    </w:p>
    <w:p w:rsidR="00261737" w:rsidRDefault="00261737" w:rsidP="00261737">
      <w:pPr>
        <w:rPr>
          <w:rFonts w:ascii="Times New Roman" w:hAnsi="Times New Roman"/>
          <w:i/>
          <w:color w:val="FF0000"/>
          <w:sz w:val="24"/>
          <w:szCs w:val="24"/>
        </w:rPr>
      </w:pPr>
    </w:p>
    <w:p w:rsidR="00261737" w:rsidRPr="00CC07F7" w:rsidRDefault="00261737" w:rsidP="00261737">
      <w:pPr>
        <w:pStyle w:val="a8"/>
        <w:jc w:val="center"/>
        <w:rPr>
          <w:rFonts w:ascii="Times New Roman" w:hAnsi="Times New Roman"/>
          <w:bCs/>
          <w:sz w:val="26"/>
          <w:szCs w:val="26"/>
        </w:rPr>
      </w:pPr>
    </w:p>
    <w:p w:rsidR="00261737" w:rsidRPr="00CC07F7" w:rsidRDefault="00261737" w:rsidP="00261737">
      <w:pPr>
        <w:pStyle w:val="a8"/>
        <w:jc w:val="center"/>
        <w:rPr>
          <w:rFonts w:ascii="Times New Roman" w:hAnsi="Times New Roman"/>
          <w:bCs/>
          <w:sz w:val="26"/>
          <w:szCs w:val="26"/>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8E4853" w:rsidRDefault="008E4853" w:rsidP="00FE6874">
      <w:pPr>
        <w:rPr>
          <w:rFonts w:ascii="Times New Roman" w:hAnsi="Times New Roman"/>
          <w:b/>
          <w:bCs/>
        </w:rPr>
      </w:pPr>
    </w:p>
    <w:p w:rsidR="00C80AC7" w:rsidRDefault="00C80AC7" w:rsidP="00555C15">
      <w:pPr>
        <w:jc w:val="center"/>
        <w:rPr>
          <w:rFonts w:ascii="Times New Roman" w:hAnsi="Times New Roman"/>
          <w:b/>
          <w:sz w:val="24"/>
          <w:szCs w:val="24"/>
          <w:highlight w:val="yellow"/>
        </w:rPr>
      </w:pPr>
    </w:p>
    <w:p w:rsidR="00C80AC7" w:rsidRPr="00955B63" w:rsidRDefault="00DE009A" w:rsidP="00C80AC7">
      <w:pPr>
        <w:spacing w:after="120"/>
        <w:ind w:left="-142" w:right="-142"/>
        <w:jc w:val="center"/>
        <w:rPr>
          <w:rFonts w:ascii="Times New Roman" w:hAnsi="Times New Roman" w:cs="Times New Roman"/>
          <w:b/>
          <w:noProof/>
          <w:sz w:val="28"/>
          <w:szCs w:val="28"/>
        </w:rPr>
      </w:pPr>
      <w:r>
        <w:rPr>
          <w:rFonts w:ascii="Times New Roman" w:hAnsi="Times New Roman" w:cs="Times New Roman"/>
          <w:b/>
          <w:noProof/>
          <w:sz w:val="28"/>
          <w:szCs w:val="28"/>
        </w:rPr>
        <w:t>село Стрілки</w:t>
      </w:r>
      <w:r w:rsidR="00C80AC7" w:rsidRPr="00F95BF2">
        <w:rPr>
          <w:rFonts w:ascii="Times New Roman" w:hAnsi="Times New Roman" w:cs="Times New Roman"/>
          <w:b/>
          <w:noProof/>
          <w:sz w:val="28"/>
          <w:szCs w:val="28"/>
        </w:rPr>
        <w:t xml:space="preserve"> – 2023 р.</w:t>
      </w: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437"/>
        <w:gridCol w:w="70"/>
        <w:gridCol w:w="5919"/>
      </w:tblGrid>
      <w:tr w:rsidR="00BB6CDD" w:rsidTr="00C071F4">
        <w:trPr>
          <w:trHeight w:val="522"/>
          <w:jc w:val="center"/>
        </w:trPr>
        <w:tc>
          <w:tcPr>
            <w:tcW w:w="675"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071F4">
        <w:trPr>
          <w:trHeight w:val="522"/>
          <w:jc w:val="center"/>
        </w:trPr>
        <w:tc>
          <w:tcPr>
            <w:tcW w:w="675"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071F4">
        <w:trPr>
          <w:trHeight w:val="1195"/>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rsidTr="00485776">
        <w:trPr>
          <w:trHeight w:val="283"/>
          <w:jc w:val="center"/>
        </w:trPr>
        <w:tc>
          <w:tcPr>
            <w:tcW w:w="675" w:type="dxa"/>
          </w:tcPr>
          <w:p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261737" w:rsidRPr="00BF3CB2" w:rsidRDefault="00BF3CB2" w:rsidP="00261737">
            <w:pPr>
              <w:pStyle w:val="11"/>
              <w:widowControl w:val="0"/>
              <w:spacing w:line="240" w:lineRule="auto"/>
              <w:jc w:val="both"/>
              <w:rPr>
                <w:rFonts w:ascii="Times New Roman" w:hAnsi="Times New Roman" w:cs="Times New Roman"/>
                <w:bCs/>
                <w:sz w:val="24"/>
                <w:szCs w:val="24"/>
                <w:highlight w:val="yellow"/>
                <w:lang w:val="uk-UA"/>
              </w:rPr>
            </w:pPr>
            <w:r w:rsidRPr="00BF3CB2">
              <w:rPr>
                <w:rFonts w:ascii="Times New Roman" w:hAnsi="Times New Roman" w:cs="Times New Roman"/>
                <w:b/>
                <w:sz w:val="24"/>
                <w:szCs w:val="24"/>
                <w:lang w:val="uk-UA"/>
              </w:rPr>
              <w:t>Заклад загальної середньої освіти 1-111 ступенів – ліцей  с. Стрілки Стрілківської сільської ради  Самбірського району Львівської</w:t>
            </w:r>
          </w:p>
        </w:tc>
      </w:tr>
      <w:tr w:rsidR="00261737" w:rsidTr="00485776">
        <w:trPr>
          <w:trHeight w:val="588"/>
          <w:jc w:val="center"/>
        </w:trPr>
        <w:tc>
          <w:tcPr>
            <w:tcW w:w="675" w:type="dxa"/>
          </w:tcPr>
          <w:p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BF3CB2" w:rsidRDefault="00BF3CB2" w:rsidP="00BF3CB2">
            <w:pPr>
              <w:jc w:val="both"/>
              <w:rPr>
                <w:rFonts w:ascii="Times New Roman" w:eastAsia="Times New Roman" w:hAnsi="Times New Roman" w:cs="Times New Roman"/>
                <w:iCs/>
                <w:sz w:val="24"/>
                <w:szCs w:val="24"/>
              </w:rPr>
            </w:pPr>
            <w:r>
              <w:rPr>
                <w:rFonts w:ascii="Times New Roman" w:eastAsia="Arial" w:hAnsi="Times New Roman" w:cs="Times New Roman"/>
                <w:b/>
                <w:color w:val="000000"/>
                <w:sz w:val="24"/>
                <w:szCs w:val="24"/>
              </w:rPr>
              <w:t>82092,Львівська область, Старосамбірський район, с. Стрілки, вул. Сагайдачного,21</w:t>
            </w:r>
          </w:p>
          <w:p w:rsidR="00261737" w:rsidRPr="005C47D3" w:rsidRDefault="00261737" w:rsidP="00261737">
            <w:pPr>
              <w:ind w:left="53"/>
              <w:rPr>
                <w:rFonts w:ascii="Times New Roman" w:eastAsia="Times New Roman" w:hAnsi="Times New Roman" w:cs="Times New Roman"/>
                <w:sz w:val="24"/>
                <w:szCs w:val="24"/>
                <w:highlight w:val="yellow"/>
                <w:lang w:val="ru-RU"/>
              </w:rPr>
            </w:pPr>
          </w:p>
        </w:tc>
      </w:tr>
      <w:tr w:rsidR="00261737" w:rsidTr="00C071F4">
        <w:trPr>
          <w:trHeight w:val="522"/>
          <w:jc w:val="center"/>
        </w:trPr>
        <w:tc>
          <w:tcPr>
            <w:tcW w:w="675" w:type="dxa"/>
          </w:tcPr>
          <w:p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F3CB2" w:rsidRPr="00BF3CB2" w:rsidRDefault="00BF3CB2" w:rsidP="00BF3CB2">
            <w:pPr>
              <w:pStyle w:val="tjbmf"/>
              <w:shd w:val="clear" w:color="auto" w:fill="FFFFFF"/>
              <w:spacing w:before="0" w:beforeAutospacing="0" w:after="0" w:afterAutospacing="0"/>
              <w:rPr>
                <w:b/>
                <w:bCs/>
                <w:lang w:val="uk-UA"/>
              </w:rPr>
            </w:pPr>
            <w:r w:rsidRPr="00BF3CB2">
              <w:rPr>
                <w:rStyle w:val="af3"/>
              </w:rPr>
              <w:t xml:space="preserve">БабецьМикола, </w:t>
            </w:r>
            <w:r w:rsidRPr="00BF3CB2">
              <w:rPr>
                <w:b/>
                <w:bCs/>
                <w:color w:val="000000"/>
                <w:lang w:val="uk-UA" w:eastAsia="uk-UA"/>
              </w:rPr>
              <w:t xml:space="preserve">вчитель, </w:t>
            </w:r>
            <w:r w:rsidRPr="00BF3CB2">
              <w:rPr>
                <w:b/>
                <w:shd w:val="clear" w:color="auto" w:fill="FAFAFA"/>
              </w:rPr>
              <w:t>вул.</w:t>
            </w:r>
            <w:r w:rsidRPr="00BF3CB2">
              <w:rPr>
                <w:b/>
                <w:shd w:val="clear" w:color="auto" w:fill="FAFAFA"/>
                <w:lang w:val="uk-UA"/>
              </w:rPr>
              <w:t xml:space="preserve"> Сагайдачного</w:t>
            </w:r>
            <w:r w:rsidRPr="00BF3CB2">
              <w:rPr>
                <w:b/>
                <w:shd w:val="clear" w:color="auto" w:fill="FAFAFA"/>
              </w:rPr>
              <w:t>,</w:t>
            </w:r>
            <w:r w:rsidRPr="00BF3CB2">
              <w:rPr>
                <w:b/>
                <w:shd w:val="clear" w:color="auto" w:fill="FAFAFA"/>
                <w:lang w:val="uk-UA"/>
              </w:rPr>
              <w:t xml:space="preserve"> 21</w:t>
            </w:r>
            <w:r w:rsidRPr="00BF3CB2">
              <w:rPr>
                <w:b/>
                <w:shd w:val="clear" w:color="auto" w:fill="FAFAFA"/>
              </w:rPr>
              <w:t xml:space="preserve">, </w:t>
            </w:r>
            <w:r w:rsidRPr="00BF3CB2">
              <w:rPr>
                <w:b/>
                <w:shd w:val="clear" w:color="auto" w:fill="FAFAFA"/>
                <w:lang w:val="uk-UA"/>
              </w:rPr>
              <w:t>с. Стрілки</w:t>
            </w:r>
            <w:r w:rsidRPr="00BF3CB2">
              <w:rPr>
                <w:b/>
              </w:rPr>
              <w:t>,</w:t>
            </w:r>
            <w:r w:rsidRPr="00BF3CB2">
              <w:rPr>
                <w:b/>
                <w:lang w:val="uk-UA"/>
              </w:rPr>
              <w:t xml:space="preserve">Старосамбірський район, </w:t>
            </w:r>
            <w:r w:rsidRPr="00BF3CB2">
              <w:rPr>
                <w:b/>
              </w:rPr>
              <w:t>Львівська область, Україна,820</w:t>
            </w:r>
            <w:r w:rsidRPr="00BF3CB2">
              <w:rPr>
                <w:b/>
                <w:lang w:val="uk-UA"/>
              </w:rPr>
              <w:t>92</w:t>
            </w:r>
          </w:p>
          <w:p w:rsidR="00C80AC7" w:rsidRPr="00BF3CB2" w:rsidRDefault="00BF3CB2" w:rsidP="00BF3CB2">
            <w:pPr>
              <w:rPr>
                <w:rFonts w:ascii="Times New Roman" w:hAnsi="Times New Roman" w:cs="Times New Roman"/>
                <w:b/>
                <w:sz w:val="24"/>
                <w:szCs w:val="24"/>
              </w:rPr>
            </w:pPr>
            <w:r w:rsidRPr="00BF3CB2">
              <w:rPr>
                <w:rFonts w:ascii="Times New Roman" w:hAnsi="Times New Roman" w:cs="Times New Roman"/>
                <w:b/>
                <w:bCs/>
                <w:sz w:val="24"/>
                <w:szCs w:val="24"/>
              </w:rPr>
              <w:t>моб.</w:t>
            </w:r>
            <w:r w:rsidRPr="00BF3CB2">
              <w:rPr>
                <w:rStyle w:val="af3"/>
                <w:rFonts w:ascii="Times New Roman" w:hAnsi="Times New Roman" w:cs="Times New Roman"/>
                <w:sz w:val="24"/>
                <w:szCs w:val="24"/>
              </w:rPr>
              <w:t>тел.: 0966141018; телефакс:;   e-mail:</w:t>
            </w:r>
            <w:r w:rsidRPr="00BF3CB2">
              <w:rPr>
                <w:rStyle w:val="af3"/>
                <w:rFonts w:ascii="Times New Roman" w:hAnsi="Times New Roman" w:cs="Times New Roman"/>
                <w:sz w:val="24"/>
                <w:szCs w:val="24"/>
                <w:lang w:val="en-US"/>
              </w:rPr>
              <w:t>sckolainternat</w:t>
            </w:r>
            <w:r w:rsidRPr="00BF3CB2">
              <w:rPr>
                <w:rStyle w:val="af3"/>
                <w:rFonts w:ascii="Times New Roman" w:hAnsi="Times New Roman" w:cs="Times New Roman"/>
                <w:sz w:val="24"/>
                <w:szCs w:val="24"/>
                <w:lang w:val="ru-RU"/>
              </w:rPr>
              <w:t>@</w:t>
            </w:r>
            <w:r w:rsidRPr="00BF3CB2">
              <w:rPr>
                <w:rStyle w:val="af3"/>
                <w:rFonts w:ascii="Times New Roman" w:hAnsi="Times New Roman" w:cs="Times New Roman"/>
                <w:sz w:val="24"/>
                <w:szCs w:val="24"/>
                <w:lang w:val="en-US"/>
              </w:rPr>
              <w:t>gmail</w:t>
            </w:r>
            <w:r w:rsidRPr="00BF3CB2">
              <w:rPr>
                <w:rStyle w:val="af3"/>
                <w:rFonts w:ascii="Times New Roman" w:hAnsi="Times New Roman" w:cs="Times New Roman"/>
                <w:sz w:val="24"/>
                <w:szCs w:val="24"/>
                <w:lang w:val="ru-RU"/>
              </w:rPr>
              <w:t>.</w:t>
            </w:r>
            <w:r w:rsidRPr="00BF3CB2">
              <w:rPr>
                <w:rStyle w:val="af3"/>
                <w:rFonts w:ascii="Times New Roman" w:hAnsi="Times New Roman" w:cs="Times New Roman"/>
                <w:sz w:val="24"/>
                <w:szCs w:val="24"/>
                <w:lang w:val="en-US"/>
              </w:rPr>
              <w:t>com</w:t>
            </w:r>
            <w:bookmarkStart w:id="2" w:name="_gjdgxs" w:colFirst="0" w:colLast="0"/>
            <w:bookmarkEnd w:id="2"/>
            <w:r w:rsidRPr="00BF3CB2">
              <w:rPr>
                <w:rFonts w:ascii="Times New Roman" w:hAnsi="Times New Roman" w:cs="Times New Roman"/>
                <w:b/>
                <w:bCs/>
                <w:sz w:val="24"/>
                <w:szCs w:val="24"/>
                <w:u w:val="single"/>
                <w:shd w:val="clear" w:color="auto" w:fill="F7F7F7"/>
              </w:rPr>
              <w:t xml:space="preserve"> </w:t>
            </w:r>
          </w:p>
          <w:p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rsidTr="00C071F4">
        <w:trPr>
          <w:trHeight w:val="522"/>
          <w:jc w:val="center"/>
        </w:trPr>
        <w:tc>
          <w:tcPr>
            <w:tcW w:w="675" w:type="dxa"/>
          </w:tcPr>
          <w:p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D22110" w:rsidRPr="002A236C" w:rsidRDefault="00555C15" w:rsidP="00EA35D9">
            <w:pPr>
              <w:pStyle w:val="1"/>
              <w:spacing w:before="0" w:after="0"/>
              <w:textAlignment w:val="baseline"/>
              <w:rPr>
                <w:rFonts w:ascii="Times New Roman" w:hAnsi="Times New Roman"/>
                <w:b w:val="0"/>
                <w:bCs/>
                <w:color w:val="000000"/>
                <w:sz w:val="24"/>
                <w:szCs w:val="24"/>
              </w:rPr>
            </w:pPr>
            <w:r w:rsidRPr="00660915">
              <w:rPr>
                <w:rFonts w:ascii="Times New Roman" w:hAnsi="Times New Roman"/>
                <w:sz w:val="24"/>
                <w:szCs w:val="24"/>
              </w:rPr>
              <w:t>код ДК 021:2015 - 09110000-3 Тверде паливо(вугілля кам’яне</w:t>
            </w:r>
            <w:r w:rsidRPr="0051613A">
              <w:rPr>
                <w:rFonts w:ascii="Times New Roman" w:hAnsi="Times New Roman"/>
                <w:iCs/>
                <w:sz w:val="24"/>
                <w:szCs w:val="24"/>
              </w:rPr>
              <w:t>)</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rsidTr="00C071F4">
        <w:trPr>
          <w:trHeight w:val="1048"/>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BF3CB2" w:rsidRDefault="00693BE4" w:rsidP="00BF3CB2">
            <w:pPr>
              <w:jc w:val="both"/>
              <w:rPr>
                <w:rFonts w:ascii="Times New Roman" w:hAnsi="Times New Roman"/>
                <w:sz w:val="24"/>
                <w:szCs w:val="24"/>
              </w:rPr>
            </w:pPr>
            <w:r w:rsidRPr="00AA7321">
              <w:rPr>
                <w:rFonts w:ascii="Times New Roman" w:hAnsi="Times New Roman"/>
                <w:sz w:val="24"/>
                <w:szCs w:val="24"/>
              </w:rPr>
              <w:t xml:space="preserve">місце поставки (передачі) товару: </w:t>
            </w:r>
          </w:p>
          <w:p w:rsidR="00C80AC7" w:rsidRPr="00BF3CB2" w:rsidRDefault="00C80AC7" w:rsidP="00BF3CB2">
            <w:pPr>
              <w:jc w:val="both"/>
              <w:rPr>
                <w:rFonts w:ascii="Times New Roman" w:eastAsia="Times New Roman" w:hAnsi="Times New Roman" w:cs="Times New Roman"/>
                <w:iCs/>
                <w:sz w:val="24"/>
                <w:szCs w:val="24"/>
              </w:rPr>
            </w:pPr>
            <w:r w:rsidRPr="00955B63">
              <w:rPr>
                <w:rFonts w:ascii="Times New Roman" w:eastAsia="Times New Roman" w:hAnsi="Times New Roman" w:cs="Times New Roman"/>
                <w:color w:val="000000"/>
                <w:sz w:val="24"/>
                <w:szCs w:val="24"/>
              </w:rPr>
              <w:t>Місце поставки товарів:</w:t>
            </w:r>
            <w:r w:rsidRPr="00955B63">
              <w:rPr>
                <w:rFonts w:ascii="Times New Roman" w:hAnsi="Times New Roman" w:cs="Times New Roman"/>
                <w:sz w:val="24"/>
                <w:szCs w:val="24"/>
                <w:shd w:val="clear" w:color="auto" w:fill="FFFFFF"/>
              </w:rPr>
              <w:t xml:space="preserve"> </w:t>
            </w:r>
            <w:r w:rsidR="00BF3CB2">
              <w:rPr>
                <w:rFonts w:ascii="Times New Roman" w:eastAsia="Arial" w:hAnsi="Times New Roman" w:cs="Times New Roman"/>
                <w:b/>
                <w:color w:val="000000"/>
                <w:sz w:val="24"/>
                <w:szCs w:val="24"/>
              </w:rPr>
              <w:t>82092,Львівська область, Старосамбірський район, с. Стрілки, вул. Сагайдачного,21</w:t>
            </w:r>
          </w:p>
          <w:p w:rsidR="00C80AC7" w:rsidRDefault="00693BE4" w:rsidP="00945CDF">
            <w:pPr>
              <w:autoSpaceDE w:val="0"/>
              <w:autoSpaceDN w:val="0"/>
              <w:adjustRightInd w:val="0"/>
              <w:rPr>
                <w:rFonts w:ascii="Times New Roman" w:hAnsi="Times New Roman" w:cs="Times New Roman"/>
                <w:b/>
                <w:bCs/>
                <w:sz w:val="24"/>
                <w:szCs w:val="24"/>
                <w:lang w:val="ru-RU"/>
              </w:rPr>
            </w:pPr>
            <w:r w:rsidRPr="00191E0C">
              <w:rPr>
                <w:rFonts w:ascii="Times New Roman" w:hAnsi="Times New Roman" w:cs="Times New Roman"/>
                <w:sz w:val="24"/>
                <w:szCs w:val="24"/>
                <w:lang w:val="ru-RU"/>
              </w:rPr>
              <w:t>кількість, обсяг поставки товарів</w:t>
            </w:r>
            <w:r w:rsidRPr="00FE6874">
              <w:rPr>
                <w:rFonts w:ascii="Times New Roman" w:hAnsi="Times New Roman" w:cs="Times New Roman"/>
                <w:sz w:val="24"/>
                <w:szCs w:val="24"/>
                <w:lang w:val="ru-RU"/>
              </w:rPr>
              <w:t>:</w:t>
            </w:r>
          </w:p>
          <w:p w:rsidR="00C80AC7" w:rsidRPr="00934E74" w:rsidRDefault="00C80AC7" w:rsidP="00934E74">
            <w:pPr>
              <w:ind w:right="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w:t>
            </w:r>
            <w:r>
              <w:rPr>
                <w:rFonts w:ascii="Times New Roman" w:hAnsi="Times New Roman"/>
                <w:sz w:val="24"/>
                <w:szCs w:val="24"/>
              </w:rPr>
              <w:t xml:space="preserve">Вугілля кам’яне </w:t>
            </w:r>
          </w:p>
          <w:p w:rsidR="00C80AC7" w:rsidRDefault="00C80AC7" w:rsidP="00C80AC7">
            <w:pPr>
              <w:ind w:right="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Вього</w:t>
            </w:r>
            <w:r w:rsidRPr="00C60A39">
              <w:rPr>
                <w:rFonts w:ascii="Times New Roman" w:eastAsia="Times New Roman" w:hAnsi="Times New Roman" w:cs="Times New Roman"/>
                <w:color w:val="000000"/>
                <w:sz w:val="24"/>
                <w:szCs w:val="24"/>
              </w:rPr>
              <w:t xml:space="preserve">: </w:t>
            </w:r>
            <w:r w:rsidR="00934E74" w:rsidRPr="00C60A39">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 xml:space="preserve"> тонн.</w:t>
            </w:r>
          </w:p>
          <w:p w:rsidR="00693BE4" w:rsidRPr="001D06A5" w:rsidRDefault="00693BE4" w:rsidP="00693BE4">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r w:rsidRPr="001D06A5">
              <w:rPr>
                <w:rFonts w:ascii="Times New Roman" w:hAnsi="Times New Roman" w:cs="Times New Roman"/>
                <w:iCs/>
                <w:sz w:val="24"/>
                <w:szCs w:val="24"/>
                <w:lang w:val="ru-RU"/>
              </w:rPr>
              <w:t>більш детально інформацію наведено в Технічних,</w:t>
            </w:r>
          </w:p>
          <w:p w:rsidR="00693BE4" w:rsidRPr="001D06A5" w:rsidRDefault="00693BE4" w:rsidP="00693BE4">
            <w:pPr>
              <w:autoSpaceDE w:val="0"/>
              <w:autoSpaceDN w:val="0"/>
              <w:adjustRightInd w:val="0"/>
              <w:rPr>
                <w:rFonts w:ascii="Times New Roman" w:hAnsi="Times New Roman" w:cs="Times New Roman"/>
                <w:iCs/>
                <w:sz w:val="24"/>
                <w:szCs w:val="24"/>
                <w:lang w:val="ru-RU"/>
              </w:rPr>
            </w:pPr>
            <w:r w:rsidRPr="001D06A5">
              <w:rPr>
                <w:rFonts w:ascii="Times New Roman" w:hAnsi="Times New Roman" w:cs="Times New Roman"/>
                <w:iCs/>
                <w:sz w:val="24"/>
                <w:szCs w:val="24"/>
                <w:lang w:val="ru-RU"/>
              </w:rPr>
              <w:t>якісних та кількісних характеристиках предмета</w:t>
            </w:r>
          </w:p>
          <w:p w:rsidR="003A271D" w:rsidRPr="00AB3E60" w:rsidRDefault="00693BE4" w:rsidP="00693BE4">
            <w:pPr>
              <w:ind w:right="127"/>
              <w:textAlignment w:val="baseline"/>
              <w:rPr>
                <w:rFonts w:ascii="Times New Roman" w:eastAsia="Times New Roman" w:hAnsi="Times New Roman"/>
                <w:sz w:val="24"/>
                <w:szCs w:val="24"/>
              </w:rPr>
            </w:pPr>
            <w:r w:rsidRPr="001D06A5">
              <w:rPr>
                <w:rFonts w:ascii="Times New Roman" w:hAnsi="Times New Roman" w:cs="Times New Roman"/>
                <w:iCs/>
                <w:sz w:val="24"/>
                <w:szCs w:val="24"/>
                <w:lang w:val="ru-RU"/>
              </w:rPr>
              <w:t>закупівлі (Додаток 3 до цієї</w:t>
            </w:r>
            <w:r w:rsidR="00BF3CB2">
              <w:rPr>
                <w:rFonts w:ascii="Times New Roman" w:hAnsi="Times New Roman" w:cs="Times New Roman"/>
                <w:iCs/>
                <w:sz w:val="24"/>
                <w:szCs w:val="24"/>
                <w:lang w:val="ru-RU"/>
              </w:rPr>
              <w:t xml:space="preserve"> </w:t>
            </w:r>
            <w:r w:rsidRPr="001D06A5">
              <w:rPr>
                <w:rFonts w:ascii="Times New Roman" w:hAnsi="Times New Roman" w:cs="Times New Roman"/>
                <w:iCs/>
                <w:sz w:val="24"/>
                <w:szCs w:val="24"/>
                <w:lang w:val="ru-RU"/>
              </w:rPr>
              <w:t>тендерноїдокументації</w:t>
            </w:r>
            <w:r w:rsidRPr="00AA7321">
              <w:rPr>
                <w:rFonts w:ascii="Times New Roman" w:hAnsi="Times New Roman" w:cs="Times New Roman"/>
                <w:i/>
                <w:iCs/>
                <w:sz w:val="24"/>
                <w:szCs w:val="24"/>
                <w:lang w:val="ru-RU"/>
              </w:rPr>
              <w:t>)</w:t>
            </w:r>
          </w:p>
        </w:tc>
      </w:tr>
      <w:tr w:rsidR="003A271D" w:rsidTr="00C071F4">
        <w:trPr>
          <w:trHeight w:val="522"/>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31</w:t>
            </w:r>
            <w:r w:rsidR="00934E74">
              <w:rPr>
                <w:rFonts w:ascii="Times New Roman" w:hAnsi="Times New Roman"/>
                <w:sz w:val="24"/>
                <w:szCs w:val="24"/>
              </w:rPr>
              <w:t>.12</w:t>
            </w:r>
            <w:r w:rsidR="004C36BB">
              <w:rPr>
                <w:rFonts w:ascii="Times New Roman" w:hAnsi="Times New Roman"/>
                <w:sz w:val="24"/>
                <w:szCs w:val="24"/>
              </w:rPr>
              <w:t xml:space="preserve"> </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rsidR="00807ED1" w:rsidRPr="00807ED1" w:rsidRDefault="004241B5" w:rsidP="00C60A39">
            <w:pPr>
              <w:widowControl w:val="0"/>
              <w:spacing w:beforeLines="50" w:afterLines="5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rsidR="00BB6CDD" w:rsidRDefault="004D4827" w:rsidP="00C60A39">
            <w:pPr>
              <w:widowControl w:val="0"/>
              <w:spacing w:beforeLines="50" w:afterLines="5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rsidTr="00C071F4">
        <w:trPr>
          <w:trHeight w:val="522"/>
          <w:jc w:val="center"/>
        </w:trPr>
        <w:tc>
          <w:tcPr>
            <w:tcW w:w="675" w:type="dxa"/>
          </w:tcPr>
          <w:p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4628E1">
              <w:rPr>
                <w:rFonts w:ascii="Times New Roman" w:eastAsia="Times New Roman" w:hAnsi="Times New Roman" w:cs="Times New Roman"/>
                <w:color w:val="000000"/>
                <w:sz w:val="24"/>
                <w:szCs w:val="24"/>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Pr>
                <w:rFonts w:ascii="Times New Roman" w:eastAsia="Times New Roman" w:hAnsi="Times New Roman" w:cs="Times New Roman"/>
                <w:color w:val="000000"/>
                <w:sz w:val="24"/>
                <w:szCs w:val="24"/>
              </w:rPr>
              <w:lastRenderedPageBreak/>
              <w:t>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8"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2 до цієї тендерної документації);</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Додатком 3 до цієї тендерної документації та іншими розділами тендерної документації); </w:t>
            </w:r>
          </w:p>
          <w:p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 xml:space="preserve">-копію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w:t>
            </w:r>
            <w:r w:rsidRPr="009F569A">
              <w:rPr>
                <w:rFonts w:ascii="Times New Roman" w:hAnsi="Times New Roman" w:cs="Times New Roman"/>
                <w:color w:val="000000"/>
                <w:sz w:val="24"/>
                <w:szCs w:val="24"/>
              </w:rPr>
              <w:lastRenderedPageBreak/>
              <w:t>товариства з обмеженою та додатковою відповідальністю»).</w:t>
            </w:r>
          </w:p>
          <w:p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Документи, що вимагаються цією тендерною документацією, учасник повинен подати (надати) (завантажити в електронну систему закупівель (далі - Система)) до кінцевого строку подання тендерних пропозицій у сканованому вигляді у форматі PDF (</w:t>
            </w:r>
            <w:hyperlink r:id="rId9" w:history="1">
              <w:r w:rsidRPr="00B20B05">
                <w:rPr>
                  <w:rFonts w:ascii="Times New Roman" w:hAnsi="Times New Roman"/>
                  <w:sz w:val="24"/>
                  <w:szCs w:val="24"/>
                </w:rPr>
                <w:t>PortableDocumentFormat</w:t>
              </w:r>
            </w:hyperlink>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rsidTr="00C071F4">
        <w:trPr>
          <w:trHeight w:val="410"/>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rsidR="00BB6CDD" w:rsidRPr="0063779B" w:rsidRDefault="00BB6CDD" w:rsidP="0044407F">
            <w:pPr>
              <w:pStyle w:val="a8"/>
              <w:rPr>
                <w:rFonts w:eastAsia="Times New Roman"/>
                <w:color w:val="000000"/>
              </w:rPr>
            </w:pP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70001B">
              <w:rPr>
                <w:rFonts w:ascii="Times New Roman" w:hAnsi="Times New Roman" w:cs="Times New Roman"/>
                <w:sz w:val="24"/>
                <w:szCs w:val="24"/>
                <w:shd w:val="solid" w:color="FFFFFF" w:fill="FFFFFF"/>
              </w:rPr>
              <w:lastRenderedPageBreak/>
              <w:t>замовникові через електронну систему закупівель</w:t>
            </w:r>
            <w:r>
              <w:rPr>
                <w:rFonts w:ascii="Times New Roman" w:hAnsi="Times New Roman" w:cs="Times New Roman"/>
                <w:sz w:val="24"/>
                <w:szCs w:val="24"/>
                <w:shd w:val="solid" w:color="FFFFFF" w:fill="FFFFFF"/>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2</w:t>
            </w:r>
            <w:r w:rsidR="00386F0B">
              <w:rPr>
                <w:rFonts w:ascii="Times New Roman" w:eastAsia="Times New Roman" w:hAnsi="Times New Roman" w:cs="Times New Roman"/>
                <w:color w:val="000000"/>
                <w:sz w:val="24"/>
                <w:szCs w:val="24"/>
              </w:rPr>
              <w:t>.</w:t>
            </w:r>
          </w:p>
          <w:p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rsidR="00143070"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B6CDD" w:rsidRDefault="00BB6CDD"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BB6CDD" w:rsidTr="00C071F4">
        <w:trPr>
          <w:trHeight w:val="841"/>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3</w:t>
            </w:r>
            <w:r w:rsidRPr="0073680B">
              <w:rPr>
                <w:rFonts w:ascii="Times New Roman" w:hAnsi="Times New Roman"/>
                <w:sz w:val="24"/>
                <w:szCs w:val="24"/>
              </w:rPr>
              <w:t xml:space="preserve"> до цієї тендерної документації;</w:t>
            </w:r>
          </w:p>
          <w:p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rsidTr="00297B49">
        <w:trPr>
          <w:trHeight w:val="699"/>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rsidTr="00297B49">
        <w:trPr>
          <w:trHeight w:val="1119"/>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CDD" w:rsidTr="00C071F4">
        <w:trPr>
          <w:trHeight w:val="522"/>
          <w:jc w:val="center"/>
        </w:trPr>
        <w:tc>
          <w:tcPr>
            <w:tcW w:w="10101" w:type="dxa"/>
            <w:gridSpan w:val="4"/>
            <w:shd w:val="clear" w:color="auto" w:fill="A5A5A5"/>
          </w:tcPr>
          <w:p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rsidR="00BB6CDD" w:rsidRPr="00AD7E52" w:rsidRDefault="00246996"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60A39">
              <w:rPr>
                <w:rFonts w:ascii="Times New Roman" w:eastAsia="Times New Roman" w:hAnsi="Times New Roman" w:cs="Times New Roman"/>
                <w:color w:val="000000"/>
                <w:sz w:val="24"/>
                <w:szCs w:val="24"/>
              </w:rPr>
              <w:t>0</w:t>
            </w:r>
            <w:r w:rsidR="00C60A39">
              <w:rPr>
                <w:rFonts w:ascii="Times New Roman" w:eastAsia="Times New Roman" w:hAnsi="Times New Roman" w:cs="Times New Roman"/>
                <w:color w:val="000000"/>
                <w:sz w:val="24"/>
                <w:szCs w:val="24"/>
              </w:rPr>
              <w:t>9</w:t>
            </w:r>
            <w:r w:rsidR="00261737" w:rsidRPr="00C60A39">
              <w:rPr>
                <w:rFonts w:ascii="Times New Roman" w:eastAsia="Times New Roman" w:hAnsi="Times New Roman" w:cs="Times New Roman"/>
                <w:color w:val="000000"/>
                <w:sz w:val="24"/>
                <w:szCs w:val="24"/>
              </w:rPr>
              <w:t>.0</w:t>
            </w:r>
            <w:r w:rsidRPr="00C60A39">
              <w:rPr>
                <w:rFonts w:ascii="Times New Roman" w:eastAsia="Times New Roman" w:hAnsi="Times New Roman" w:cs="Times New Roman"/>
                <w:color w:val="000000"/>
                <w:sz w:val="24"/>
                <w:szCs w:val="24"/>
              </w:rPr>
              <w:t>2</w:t>
            </w:r>
            <w:r w:rsidR="002F4BC3" w:rsidRPr="00C60A39">
              <w:rPr>
                <w:rFonts w:ascii="Times New Roman" w:eastAsia="Times New Roman" w:hAnsi="Times New Roman" w:cs="Times New Roman"/>
                <w:color w:val="000000"/>
                <w:sz w:val="24"/>
                <w:szCs w:val="24"/>
              </w:rPr>
              <w:t>.202</w:t>
            </w:r>
            <w:r w:rsidR="00757532" w:rsidRPr="00C60A39">
              <w:rPr>
                <w:rFonts w:ascii="Times New Roman" w:eastAsia="Times New Roman" w:hAnsi="Times New Roman" w:cs="Times New Roman"/>
                <w:color w:val="000000"/>
                <w:sz w:val="24"/>
                <w:szCs w:val="24"/>
              </w:rPr>
              <w:t>3</w:t>
            </w:r>
            <w:r w:rsidR="00E322D4" w:rsidRPr="00C60A39">
              <w:rPr>
                <w:rFonts w:ascii="Times New Roman" w:eastAsia="Times New Roman" w:hAnsi="Times New Roman" w:cs="Times New Roman"/>
                <w:color w:val="000000"/>
                <w:sz w:val="24"/>
                <w:szCs w:val="24"/>
              </w:rPr>
              <w:t>р.</w:t>
            </w:r>
            <w:r w:rsidR="00762348" w:rsidRPr="00C60A39">
              <w:rPr>
                <w:rFonts w:ascii="Times New Roman" w:eastAsia="Times New Roman" w:hAnsi="Times New Roman" w:cs="Times New Roman"/>
                <w:color w:val="000000"/>
                <w:sz w:val="24"/>
                <w:szCs w:val="24"/>
              </w:rPr>
              <w:t>;</w:t>
            </w:r>
            <w:bookmarkStart w:id="3"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bookmarkStart w:id="4" w:name="_GoBack"/>
            <w:bookmarkEnd w:id="4"/>
          </w:p>
          <w:bookmarkEnd w:id="3"/>
          <w:p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sidRPr="00297B49">
              <w:rPr>
                <w:color w:val="000000"/>
                <w:sz w:val="24"/>
                <w:szCs w:val="24"/>
                <w:lang w:eastAsia="ru-RU" w:bidi="ar-SA"/>
              </w:rPr>
              <w:t>Елек</w:t>
            </w:r>
            <w:r w:rsidR="004D4827" w:rsidRPr="00297B49">
              <w:rPr>
                <w:color w:val="000000"/>
                <w:sz w:val="24"/>
                <w:szCs w:val="24"/>
                <w:lang w:eastAsia="ru-RU" w:bidi="ar-SA"/>
              </w:rPr>
              <w:t>тронна система закупівель автоматичноформує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w:t>
            </w:r>
            <w:r w:rsidRPr="00486A31">
              <w:rPr>
                <w:rFonts w:ascii="Times New Roman" w:hAnsi="Times New Roman" w:cs="Times New Roman"/>
                <w:sz w:val="24"/>
                <w:szCs w:val="24"/>
              </w:rPr>
              <w:lastRenderedPageBreak/>
              <w:t>пропозицій повинен містити інформацію про:</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унікальний номер оголошення про проведення відкритих торгів, присвоєний електронною системою закупівель;</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2.5. Замовник має право звернутися за підтвердженням </w:t>
            </w:r>
            <w:r w:rsidRPr="00486A31">
              <w:rPr>
                <w:rFonts w:ascii="Times New Roman" w:hAnsi="Times New Roman" w:cs="Times New Roman"/>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rsidTr="00C071F4">
        <w:trPr>
          <w:trHeight w:val="522"/>
          <w:jc w:val="center"/>
        </w:trPr>
        <w:tc>
          <w:tcPr>
            <w:tcW w:w="10101" w:type="dxa"/>
            <w:gridSpan w:val="4"/>
            <w:shd w:val="clear" w:color="auto" w:fill="A5A5A5"/>
          </w:tcPr>
          <w:p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54747">
              <w:rPr>
                <w:rFonts w:ascii="Times New Roman" w:hAnsi="Times New Roman"/>
                <w:color w:val="auto"/>
                <w:sz w:val="24"/>
                <w:szCs w:val="24"/>
              </w:rPr>
              <w:t>Наприклад:</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уживання розділових знаків та відмінювання слів у </w:t>
            </w:r>
            <w:r w:rsidRPr="00954747">
              <w:rPr>
                <w:rFonts w:ascii="Times New Roman" w:hAnsi="Times New Roman"/>
                <w:color w:val="auto"/>
                <w:sz w:val="24"/>
                <w:szCs w:val="24"/>
              </w:rPr>
              <w:lastRenderedPageBreak/>
              <w:t>реченні;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використання слова або мовного звороту, запозичених з іншої мови;</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8. Подання документа учасником процедури закупівлі </w:t>
            </w:r>
            <w:r w:rsidRPr="00954747">
              <w:rPr>
                <w:rFonts w:ascii="Times New Roman" w:hAnsi="Times New Roman"/>
                <w:color w:val="auto"/>
                <w:sz w:val="24"/>
                <w:szCs w:val="24"/>
              </w:rPr>
              <w:lastRenderedPageBreak/>
              <w:t>у складі тендерної пропозиції, що є сканованою копією оригіналу документа/електронного документа.</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львів» замість «місто Львів»; </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«тендернапропозиція» замість «тендерна пропозиція»;</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«срток поставки» замість «строк поставки»;</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 xml:space="preserve">додатково </w:t>
            </w:r>
            <w:r w:rsidRPr="002A25EF">
              <w:rPr>
                <w:rFonts w:ascii="Times New Roman" w:hAnsi="Times New Roman"/>
                <w:sz w:val="24"/>
                <w:szCs w:val="24"/>
                <w:shd w:val="clear" w:color="auto" w:fill="FFFFFF"/>
                <w:lang w:val="uk-UA"/>
              </w:rPr>
              <w:lastRenderedPageBreak/>
              <w:t>надати підтвердження інформації про відповідність учасника іншим вимогам замовника:</w:t>
            </w:r>
          </w:p>
          <w:p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bCs/>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2A25EF" w:rsidRPr="00CB5EB6">
              <w:rPr>
                <w:sz w:val="24"/>
                <w:szCs w:val="24"/>
                <w:shd w:val="clear" w:color="auto" w:fill="FFFFFF"/>
              </w:rPr>
              <w:t>(для юридичних осіб, для фізичних осіб, у тому числі фізичних осіб-підприємців).</w:t>
            </w:r>
          </w:p>
          <w:p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sz w:val="24"/>
                <w:szCs w:val="24"/>
              </w:rPr>
              <w:t>розуміється ціна / приведена ціна найбільш економічновигідної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Обґрунтування аномально низької тендерної </w:t>
            </w:r>
            <w:r w:rsidRPr="00486A31">
              <w:rPr>
                <w:rFonts w:ascii="Times New Roman" w:hAnsi="Times New Roman" w:cs="Times New Roman"/>
                <w:sz w:val="24"/>
                <w:szCs w:val="24"/>
              </w:rPr>
              <w:lastRenderedPageBreak/>
              <w:t>пропозиції може містити інформацію про:</w:t>
            </w:r>
          </w:p>
          <w:p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Pr="00D70AF5">
              <w:rPr>
                <w:rFonts w:ascii="Times New Roman" w:hAnsi="Times New Roman" w:cs="Times New Roman"/>
                <w:color w:val="000000"/>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cs="Times New Roman"/>
                <w:color w:val="000000"/>
                <w:sz w:val="24"/>
                <w:szCs w:val="24"/>
              </w:rPr>
              <w:t xml:space="preserve">.  </w:t>
            </w:r>
          </w:p>
          <w:p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 xml:space="preserve">Надану Учасником інформацію Замовник самостійно перевіряє в  Єдиному державному реєстрі юридичних осіб, фізичних осіб - </w:t>
            </w:r>
            <w:r w:rsidR="00116C76" w:rsidRPr="00116C76">
              <w:rPr>
                <w:rFonts w:ascii="Times New Roman" w:eastAsia="Times New Roman" w:hAnsi="Times New Roman"/>
                <w:sz w:val="24"/>
                <w:szCs w:val="24"/>
              </w:rPr>
              <w:lastRenderedPageBreak/>
              <w:t>підприємців та громадських формувань.</w:t>
            </w:r>
          </w:p>
          <w:p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4.1.Замовник відхиляє тендерну пропозицію із зазначенням аргументації в електронній системі закупівель у разі, коли:</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442BC7" w:rsidRPr="00486A31">
              <w:rPr>
                <w:sz w:val="24"/>
                <w:szCs w:val="24"/>
              </w:rPr>
              <w:t>згідно з абзацом другим пункту 39 цих особливостей;</w:t>
            </w:r>
          </w:p>
          <w:p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86A31">
              <w:rPr>
                <w:sz w:val="24"/>
                <w:szCs w:val="24"/>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не надав обґрунтування аномально низької ціни тендерної пропозиції протягом строку, визначеного абзацом п</w:t>
            </w:r>
            <w:r w:rsidRPr="00486A31">
              <w:rPr>
                <w:sz w:val="24"/>
                <w:szCs w:val="24"/>
                <w:lang w:val="ru-RU"/>
              </w:rPr>
              <w:t>’</w:t>
            </w:r>
            <w:r w:rsidRPr="00486A31">
              <w:rPr>
                <w:sz w:val="24"/>
                <w:szCs w:val="24"/>
              </w:rPr>
              <w:t>ятим пункту 38 цих особливостей;</w:t>
            </w:r>
          </w:p>
          <w:p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 та іншим вимогам щодо предмета закупівлі тендерної документації;</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86A31">
              <w:rPr>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Замовник зобов’язаний відхилити тендерну пропозицію переможця процедури закупівлі в разі, </w:t>
            </w:r>
            <w:r w:rsidRPr="00486A31">
              <w:rPr>
                <w:rFonts w:ascii="Times New Roman" w:eastAsia="Times New Roman" w:hAnsi="Times New Roman"/>
                <w:sz w:val="24"/>
                <w:szCs w:val="24"/>
              </w:rPr>
              <w:lastRenderedPageBreak/>
              <w:t>коли наявні підстави, визначені статтею 17 Закону (крім пункту 13 частини першої статті 17 Закону).</w:t>
            </w:r>
          </w:p>
          <w:p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Times New Roman" w:eastAsia="Times New Roman" w:hAnsi="Times New Roman" w:cs="Times New Roman"/>
                <w:color w:val="000000"/>
                <w:sz w:val="24"/>
                <w:szCs w:val="24"/>
              </w:rPr>
              <w:t>Відповідно до п. 47 Особливостей:</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Відкриті торги автоматично відміняються електронною системою закупівель у разі:</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неподання жодної тендерної пропозиції для участі у </w:t>
            </w:r>
            <w:r w:rsidRPr="00A76771">
              <w:rPr>
                <w:rFonts w:ascii="Times New Roman" w:eastAsia="Times New Roman" w:hAnsi="Times New Roman" w:cs="Times New Roman"/>
                <w:color w:val="000000"/>
                <w:sz w:val="24"/>
                <w:szCs w:val="24"/>
              </w:rPr>
              <w:lastRenderedPageBreak/>
              <w:t>відкритих торгах у строк, установлений замовником згідно з цими особливостями.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n522"/>
            <w:bookmarkEnd w:id="5"/>
            <w:r w:rsidRPr="00A76771">
              <w:rPr>
                <w:rFonts w:ascii="Times New Roman" w:eastAsia="Times New Roman" w:hAnsi="Times New Roman" w:cs="Times New Roman"/>
                <w:color w:val="000000"/>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46Особливостей.</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w:t>
            </w:r>
            <w:r w:rsidRPr="00A76771">
              <w:rPr>
                <w:rFonts w:ascii="Times New Roman" w:eastAsia="Times New Roman" w:hAnsi="Times New Roman" w:cs="Times New Roman"/>
                <w:color w:val="000000"/>
                <w:sz w:val="24"/>
                <w:szCs w:val="24"/>
              </w:rPr>
              <w:lastRenderedPageBreak/>
              <w:t>про закупівлю.</w:t>
            </w:r>
          </w:p>
          <w:p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lastRenderedPageBreak/>
              <w:t>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34FC5" w:rsidRPr="00B5570E" w:rsidRDefault="006B497B" w:rsidP="00034FC5">
            <w:pPr>
              <w:spacing w:after="160" w:line="256" w:lineRule="auto"/>
              <w:jc w:val="both"/>
              <w:rPr>
                <w:rFonts w:ascii="Times New Roman" w:hAnsi="Times New Roman" w:cs="Times New Roman"/>
                <w:sz w:val="24"/>
                <w:szCs w:val="24"/>
              </w:rPr>
            </w:pPr>
            <w:bookmarkStart w:id="6" w:name="n1039"/>
            <w:bookmarkEnd w:id="6"/>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B01D04" w:rsidRDefault="00B01D04" w:rsidP="003D4054">
      <w:pPr>
        <w:widowControl w:val="0"/>
        <w:jc w:val="both"/>
        <w:rPr>
          <w:rFonts w:ascii="Times New Roman" w:hAnsi="Times New Roman" w:cs="Times New Roman"/>
          <w:b/>
          <w:sz w:val="24"/>
          <w:szCs w:val="24"/>
        </w:rPr>
      </w:pPr>
    </w:p>
    <w:p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A7186" w:rsidRPr="00B01D04"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 що підтверджують інформацію учасників про відповідність їх таким критеріям»</w:t>
      </w:r>
      <w:r w:rsidRPr="00B01D04">
        <w:rPr>
          <w:sz w:val="22"/>
          <w:szCs w:val="22"/>
        </w:rPr>
        <w:t xml:space="preserve"> до тендерної документації в 1 прим.</w:t>
      </w:r>
    </w:p>
    <w:p w:rsidR="00BA7186" w:rsidRPr="00B01D04" w:rsidRDefault="00BA7186" w:rsidP="00BA7186">
      <w:pPr>
        <w:rPr>
          <w:rFonts w:ascii="Times New Roman" w:hAnsi="Times New Roman"/>
          <w:b/>
          <w:sz w:val="22"/>
          <w:szCs w:val="22"/>
          <w:u w:val="single"/>
        </w:rPr>
      </w:pPr>
      <w:r w:rsidRPr="00B01D04">
        <w:rPr>
          <w:sz w:val="22"/>
          <w:szCs w:val="22"/>
        </w:rPr>
        <w:t>2</w:t>
      </w:r>
      <w:r w:rsidRPr="00B01D04">
        <w:rPr>
          <w:rFonts w:ascii="Times New Roman" w:hAnsi="Times New Roman" w:cs="Times New Roman"/>
          <w:sz w:val="22"/>
          <w:szCs w:val="22"/>
        </w:rPr>
        <w:t>. Додаток</w:t>
      </w:r>
      <w:r w:rsidRPr="00B01D04">
        <w:rPr>
          <w:rFonts w:ascii="Times New Roman" w:hAnsi="Times New Roman"/>
          <w:sz w:val="22"/>
          <w:szCs w:val="22"/>
        </w:rPr>
        <w:t>№2</w:t>
      </w:r>
      <w:r w:rsidR="00971596">
        <w:rPr>
          <w:rFonts w:ascii="Times New Roman" w:hAnsi="Times New Roman"/>
          <w:sz w:val="22"/>
          <w:szCs w:val="22"/>
        </w:rPr>
        <w:t>-</w:t>
      </w:r>
      <w:r w:rsidRPr="00B01D04">
        <w:rPr>
          <w:rFonts w:ascii="Times New Roman" w:hAnsi="Times New Roman"/>
          <w:sz w:val="22"/>
          <w:szCs w:val="22"/>
        </w:rPr>
        <w:t xml:space="preserve">«Вимоги, встановлені </w:t>
      </w:r>
      <w:hyperlink r:id="rId10" w:anchor="n294" w:history="1">
        <w:r w:rsidRPr="00B01D04">
          <w:rPr>
            <w:rFonts w:ascii="Times New Roman" w:hAnsi="Times New Roman"/>
            <w:sz w:val="22"/>
            <w:szCs w:val="22"/>
          </w:rPr>
          <w:t>статтею 17</w:t>
        </w:r>
      </w:hyperlink>
      <w:r w:rsidRPr="00B01D04">
        <w:rPr>
          <w:rFonts w:ascii="Times New Roman" w:hAnsi="Times New Roman"/>
          <w:sz w:val="22"/>
          <w:szCs w:val="22"/>
        </w:rPr>
        <w:t xml:space="preserve"> Закону та інформація про спосіб підтвердження відповідності учасників (переможця) вимогам згідно із законодавством»</w:t>
      </w:r>
      <w:bookmarkStart w:id="7" w:name="_Hlk125451353"/>
      <w:r w:rsidR="00B01D04" w:rsidRPr="00B01D04">
        <w:rPr>
          <w:sz w:val="22"/>
          <w:szCs w:val="22"/>
        </w:rPr>
        <w:t xml:space="preserve"> до тендерної документації в 1 прим.</w:t>
      </w:r>
      <w:bookmarkEnd w:id="7"/>
    </w:p>
    <w:p w:rsidR="003D4054" w:rsidRPr="00B01D04" w:rsidRDefault="00BA7186" w:rsidP="00B01D04">
      <w:pPr>
        <w:jc w:val="both"/>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№3</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до тендерної документації в 1 прим.</w:t>
      </w:r>
    </w:p>
    <w:p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BA7186" w:rsidRPr="00B01D04">
        <w:rPr>
          <w:rFonts w:ascii="Times New Roman" w:hAnsi="Times New Roman" w:cs="Times New Roman"/>
          <w:sz w:val="22"/>
          <w:szCs w:val="22"/>
        </w:rPr>
        <w:t>4</w:t>
      </w:r>
      <w:r w:rsidR="003D4054" w:rsidRPr="00B01D04">
        <w:rPr>
          <w:rFonts w:ascii="Times New Roman" w:hAnsi="Times New Roman" w:cs="Times New Roman"/>
          <w:sz w:val="22"/>
          <w:szCs w:val="22"/>
        </w:rPr>
        <w:t xml:space="preserve"> - «Проєкт договору» до тендерної документації.в 1 прим.</w:t>
      </w:r>
    </w:p>
    <w:p w:rsidR="003D4054" w:rsidRPr="00B01D04" w:rsidRDefault="00B01D04" w:rsidP="003D4054">
      <w:pPr>
        <w:rPr>
          <w:rFonts w:ascii="Times New Roman" w:hAnsi="Times New Roman" w:cs="Times New Roman"/>
          <w:i/>
          <w:sz w:val="22"/>
          <w:szCs w:val="22"/>
        </w:rPr>
      </w:pPr>
      <w:r>
        <w:rPr>
          <w:rFonts w:ascii="Times New Roman" w:hAnsi="Times New Roman" w:cs="Times New Roman"/>
          <w:sz w:val="22"/>
          <w:szCs w:val="22"/>
        </w:rPr>
        <w:t>5</w:t>
      </w:r>
      <w:r w:rsidR="003D4054" w:rsidRPr="00B01D04">
        <w:rPr>
          <w:rFonts w:ascii="Times New Roman" w:hAnsi="Times New Roman" w:cs="Times New Roman"/>
          <w:sz w:val="22"/>
          <w:szCs w:val="22"/>
        </w:rPr>
        <w:t xml:space="preserve">. Додаток </w:t>
      </w:r>
      <w:r w:rsidR="00BA7186" w:rsidRPr="00B01D04">
        <w:rPr>
          <w:rFonts w:ascii="Times New Roman" w:hAnsi="Times New Roman" w:cs="Times New Roman"/>
          <w:sz w:val="22"/>
          <w:szCs w:val="22"/>
        </w:rPr>
        <w:t>5</w:t>
      </w:r>
      <w:r w:rsidR="003D4054" w:rsidRPr="00B01D04">
        <w:rPr>
          <w:rFonts w:ascii="Times New Roman" w:hAnsi="Times New Roman" w:cs="Times New Roman"/>
          <w:sz w:val="22"/>
          <w:szCs w:val="22"/>
        </w:rPr>
        <w:t xml:space="preserve"> Тендерна пропозиція Учасникадо тендерної документації .в 1 прим</w:t>
      </w:r>
      <w:r w:rsidR="00351F6C">
        <w:rPr>
          <w:rFonts w:ascii="Times New Roman" w:hAnsi="Times New Roman" w:cs="Times New Roman"/>
          <w:sz w:val="22"/>
          <w:szCs w:val="22"/>
        </w:rPr>
        <w:t>.</w:t>
      </w:r>
    </w:p>
    <w:p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8A4" w:rsidRDefault="00ED28A4">
      <w:r>
        <w:separator/>
      </w:r>
    </w:p>
  </w:endnote>
  <w:endnote w:type="continuationSeparator" w:id="1">
    <w:p w:rsidR="00ED28A4" w:rsidRDefault="00ED28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8A4" w:rsidRDefault="00ED28A4">
      <w:r>
        <w:separator/>
      </w:r>
    </w:p>
  </w:footnote>
  <w:footnote w:type="continuationSeparator" w:id="1">
    <w:p w:rsidR="00ED28A4" w:rsidRDefault="00ED2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DD" w:rsidRDefault="004A726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60A39">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B6CDD"/>
    <w:rsid w:val="000001ED"/>
    <w:rsid w:val="0000288B"/>
    <w:rsid w:val="00002A72"/>
    <w:rsid w:val="00005A0F"/>
    <w:rsid w:val="00010BFB"/>
    <w:rsid w:val="00013F8D"/>
    <w:rsid w:val="00024469"/>
    <w:rsid w:val="000260CB"/>
    <w:rsid w:val="00034FC5"/>
    <w:rsid w:val="00044D21"/>
    <w:rsid w:val="00065E17"/>
    <w:rsid w:val="000871FA"/>
    <w:rsid w:val="0009071D"/>
    <w:rsid w:val="000A2E93"/>
    <w:rsid w:val="000A3A1A"/>
    <w:rsid w:val="000B05E6"/>
    <w:rsid w:val="000D26F7"/>
    <w:rsid w:val="000E044A"/>
    <w:rsid w:val="000E0893"/>
    <w:rsid w:val="000E3B78"/>
    <w:rsid w:val="001027D0"/>
    <w:rsid w:val="001037CF"/>
    <w:rsid w:val="00115D11"/>
    <w:rsid w:val="00116C76"/>
    <w:rsid w:val="00117BA4"/>
    <w:rsid w:val="00123218"/>
    <w:rsid w:val="00143070"/>
    <w:rsid w:val="00143B50"/>
    <w:rsid w:val="00145F7D"/>
    <w:rsid w:val="001468B3"/>
    <w:rsid w:val="00160238"/>
    <w:rsid w:val="00166653"/>
    <w:rsid w:val="00184EC7"/>
    <w:rsid w:val="00191D5E"/>
    <w:rsid w:val="00191E0C"/>
    <w:rsid w:val="00194B23"/>
    <w:rsid w:val="00195FAE"/>
    <w:rsid w:val="001A027B"/>
    <w:rsid w:val="001D06A5"/>
    <w:rsid w:val="001E7961"/>
    <w:rsid w:val="00203044"/>
    <w:rsid w:val="0021279D"/>
    <w:rsid w:val="0022584C"/>
    <w:rsid w:val="00232715"/>
    <w:rsid w:val="0023384B"/>
    <w:rsid w:val="00246996"/>
    <w:rsid w:val="0025714E"/>
    <w:rsid w:val="00261737"/>
    <w:rsid w:val="00263670"/>
    <w:rsid w:val="00273155"/>
    <w:rsid w:val="00295EB7"/>
    <w:rsid w:val="002974A9"/>
    <w:rsid w:val="00297B49"/>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377AE"/>
    <w:rsid w:val="00442BC7"/>
    <w:rsid w:val="0044368C"/>
    <w:rsid w:val="0044407F"/>
    <w:rsid w:val="004628E1"/>
    <w:rsid w:val="00463108"/>
    <w:rsid w:val="004711E8"/>
    <w:rsid w:val="00471498"/>
    <w:rsid w:val="00484325"/>
    <w:rsid w:val="00485776"/>
    <w:rsid w:val="00486A31"/>
    <w:rsid w:val="004A04F0"/>
    <w:rsid w:val="004A726C"/>
    <w:rsid w:val="004A7AF0"/>
    <w:rsid w:val="004C36BB"/>
    <w:rsid w:val="004C4481"/>
    <w:rsid w:val="004D0511"/>
    <w:rsid w:val="004D4827"/>
    <w:rsid w:val="004E51BC"/>
    <w:rsid w:val="00513D49"/>
    <w:rsid w:val="0051613A"/>
    <w:rsid w:val="00517943"/>
    <w:rsid w:val="00525F5D"/>
    <w:rsid w:val="0053272E"/>
    <w:rsid w:val="005338E8"/>
    <w:rsid w:val="00555A59"/>
    <w:rsid w:val="00555C15"/>
    <w:rsid w:val="00574169"/>
    <w:rsid w:val="00592FB5"/>
    <w:rsid w:val="005A2881"/>
    <w:rsid w:val="005B5D56"/>
    <w:rsid w:val="005B7ACF"/>
    <w:rsid w:val="005C3D2D"/>
    <w:rsid w:val="005C47D3"/>
    <w:rsid w:val="005C54F2"/>
    <w:rsid w:val="005D6F2E"/>
    <w:rsid w:val="005E2473"/>
    <w:rsid w:val="005F23F0"/>
    <w:rsid w:val="006058C1"/>
    <w:rsid w:val="00605D0B"/>
    <w:rsid w:val="006242B6"/>
    <w:rsid w:val="00624EF2"/>
    <w:rsid w:val="00631D32"/>
    <w:rsid w:val="0063779B"/>
    <w:rsid w:val="00643FEE"/>
    <w:rsid w:val="006654E7"/>
    <w:rsid w:val="00693299"/>
    <w:rsid w:val="00693BE4"/>
    <w:rsid w:val="00696839"/>
    <w:rsid w:val="006A494C"/>
    <w:rsid w:val="006A5A5E"/>
    <w:rsid w:val="006B1289"/>
    <w:rsid w:val="006B497B"/>
    <w:rsid w:val="006D4516"/>
    <w:rsid w:val="006D48E8"/>
    <w:rsid w:val="007106AC"/>
    <w:rsid w:val="0073680B"/>
    <w:rsid w:val="007462CE"/>
    <w:rsid w:val="00750345"/>
    <w:rsid w:val="00757532"/>
    <w:rsid w:val="00762348"/>
    <w:rsid w:val="00763825"/>
    <w:rsid w:val="00766C9D"/>
    <w:rsid w:val="00772193"/>
    <w:rsid w:val="007A0478"/>
    <w:rsid w:val="007A0ACA"/>
    <w:rsid w:val="007B1EF9"/>
    <w:rsid w:val="007B3A86"/>
    <w:rsid w:val="007C3938"/>
    <w:rsid w:val="007E001B"/>
    <w:rsid w:val="007E1101"/>
    <w:rsid w:val="007E3A28"/>
    <w:rsid w:val="007E7EFA"/>
    <w:rsid w:val="0080164D"/>
    <w:rsid w:val="00807C4C"/>
    <w:rsid w:val="00807ED1"/>
    <w:rsid w:val="00810D47"/>
    <w:rsid w:val="00816F0A"/>
    <w:rsid w:val="008206D4"/>
    <w:rsid w:val="00835050"/>
    <w:rsid w:val="00851003"/>
    <w:rsid w:val="00875301"/>
    <w:rsid w:val="008848DE"/>
    <w:rsid w:val="00897F07"/>
    <w:rsid w:val="008B2468"/>
    <w:rsid w:val="008D3094"/>
    <w:rsid w:val="008E0AC4"/>
    <w:rsid w:val="008E3C2A"/>
    <w:rsid w:val="008E4853"/>
    <w:rsid w:val="008F1370"/>
    <w:rsid w:val="008F1645"/>
    <w:rsid w:val="008F79CF"/>
    <w:rsid w:val="00900E13"/>
    <w:rsid w:val="00903CC9"/>
    <w:rsid w:val="0090722E"/>
    <w:rsid w:val="00934E74"/>
    <w:rsid w:val="009368F0"/>
    <w:rsid w:val="00945CDF"/>
    <w:rsid w:val="0096168F"/>
    <w:rsid w:val="00971596"/>
    <w:rsid w:val="00971654"/>
    <w:rsid w:val="00973AF2"/>
    <w:rsid w:val="009758F5"/>
    <w:rsid w:val="00990B4D"/>
    <w:rsid w:val="0099200D"/>
    <w:rsid w:val="009A27CE"/>
    <w:rsid w:val="009B69F4"/>
    <w:rsid w:val="009C4720"/>
    <w:rsid w:val="009D3CFC"/>
    <w:rsid w:val="009F569A"/>
    <w:rsid w:val="00A03221"/>
    <w:rsid w:val="00A4025E"/>
    <w:rsid w:val="00A41730"/>
    <w:rsid w:val="00A422FA"/>
    <w:rsid w:val="00A46F22"/>
    <w:rsid w:val="00A76771"/>
    <w:rsid w:val="00A90083"/>
    <w:rsid w:val="00AA7321"/>
    <w:rsid w:val="00AC50BA"/>
    <w:rsid w:val="00AD20E6"/>
    <w:rsid w:val="00AD5733"/>
    <w:rsid w:val="00AD7E52"/>
    <w:rsid w:val="00B01D04"/>
    <w:rsid w:val="00B100B4"/>
    <w:rsid w:val="00B1761F"/>
    <w:rsid w:val="00B21282"/>
    <w:rsid w:val="00B3698D"/>
    <w:rsid w:val="00B53520"/>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BF3CB2"/>
    <w:rsid w:val="00C005A8"/>
    <w:rsid w:val="00C05D9B"/>
    <w:rsid w:val="00C061BA"/>
    <w:rsid w:val="00C071F4"/>
    <w:rsid w:val="00C13030"/>
    <w:rsid w:val="00C1786D"/>
    <w:rsid w:val="00C45FAE"/>
    <w:rsid w:val="00C60A39"/>
    <w:rsid w:val="00C6662E"/>
    <w:rsid w:val="00C7210F"/>
    <w:rsid w:val="00C7550E"/>
    <w:rsid w:val="00C80AC7"/>
    <w:rsid w:val="00C856E4"/>
    <w:rsid w:val="00C903AA"/>
    <w:rsid w:val="00CA1221"/>
    <w:rsid w:val="00CA2AFF"/>
    <w:rsid w:val="00CB44CC"/>
    <w:rsid w:val="00CB531A"/>
    <w:rsid w:val="00CB5EB6"/>
    <w:rsid w:val="00CC07F7"/>
    <w:rsid w:val="00CD3956"/>
    <w:rsid w:val="00CE7DE4"/>
    <w:rsid w:val="00CF7428"/>
    <w:rsid w:val="00D06437"/>
    <w:rsid w:val="00D15B40"/>
    <w:rsid w:val="00D22110"/>
    <w:rsid w:val="00D366BC"/>
    <w:rsid w:val="00D60C3C"/>
    <w:rsid w:val="00D64455"/>
    <w:rsid w:val="00D67715"/>
    <w:rsid w:val="00D73B2B"/>
    <w:rsid w:val="00D73B90"/>
    <w:rsid w:val="00D83ACD"/>
    <w:rsid w:val="00D9328F"/>
    <w:rsid w:val="00DB020C"/>
    <w:rsid w:val="00DB198E"/>
    <w:rsid w:val="00DB2F5C"/>
    <w:rsid w:val="00DB4527"/>
    <w:rsid w:val="00DD16D2"/>
    <w:rsid w:val="00DE009A"/>
    <w:rsid w:val="00DF1904"/>
    <w:rsid w:val="00DF2BA4"/>
    <w:rsid w:val="00DF4841"/>
    <w:rsid w:val="00DF6F0B"/>
    <w:rsid w:val="00E11980"/>
    <w:rsid w:val="00E12DD2"/>
    <w:rsid w:val="00E13741"/>
    <w:rsid w:val="00E223A9"/>
    <w:rsid w:val="00E246F4"/>
    <w:rsid w:val="00E3224A"/>
    <w:rsid w:val="00E322D4"/>
    <w:rsid w:val="00E32F61"/>
    <w:rsid w:val="00E42893"/>
    <w:rsid w:val="00E54BAD"/>
    <w:rsid w:val="00E567D6"/>
    <w:rsid w:val="00E63E62"/>
    <w:rsid w:val="00E650E4"/>
    <w:rsid w:val="00E65B33"/>
    <w:rsid w:val="00E74718"/>
    <w:rsid w:val="00E75EA3"/>
    <w:rsid w:val="00E76643"/>
    <w:rsid w:val="00EA35D9"/>
    <w:rsid w:val="00EB0065"/>
    <w:rsid w:val="00EB22F2"/>
    <w:rsid w:val="00EB4EEC"/>
    <w:rsid w:val="00EC1579"/>
    <w:rsid w:val="00EC7F64"/>
    <w:rsid w:val="00ED28A4"/>
    <w:rsid w:val="00EE1910"/>
    <w:rsid w:val="00EE582D"/>
    <w:rsid w:val="00EF3597"/>
    <w:rsid w:val="00EF470E"/>
    <w:rsid w:val="00F04D91"/>
    <w:rsid w:val="00F24B77"/>
    <w:rsid w:val="00F56F99"/>
    <w:rsid w:val="00F70D03"/>
    <w:rsid w:val="00F8352B"/>
    <w:rsid w:val="00F8721E"/>
    <w:rsid w:val="00F87B62"/>
    <w:rsid w:val="00F87B70"/>
    <w:rsid w:val="00F95BF2"/>
    <w:rsid w:val="00FA1F9B"/>
    <w:rsid w:val="00FA5648"/>
    <w:rsid w:val="00FB3515"/>
    <w:rsid w:val="00FC1FB3"/>
    <w:rsid w:val="00FE0FD7"/>
    <w:rsid w:val="00FE187A"/>
    <w:rsid w:val="00FE6874"/>
    <w:rsid w:val="00FF5D03"/>
    <w:rsid w:val="00FF7F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UnresolvedMention">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c">
    <w:name w:val="annotation reference"/>
    <w:basedOn w:val="a0"/>
    <w:uiPriority w:val="99"/>
    <w:semiHidden/>
    <w:unhideWhenUsed/>
    <w:rsid w:val="00C80AC7"/>
    <w:rPr>
      <w:sz w:val="16"/>
      <w:szCs w:val="16"/>
    </w:rPr>
  </w:style>
  <w:style w:type="paragraph" w:styleId="ad">
    <w:name w:val="annotation text"/>
    <w:basedOn w:val="a"/>
    <w:link w:val="ae"/>
    <w:uiPriority w:val="99"/>
    <w:semiHidden/>
    <w:unhideWhenUsed/>
    <w:rsid w:val="00C80AC7"/>
  </w:style>
  <w:style w:type="character" w:customStyle="1" w:styleId="ae">
    <w:name w:val="Текст примечания Знак"/>
    <w:basedOn w:val="a0"/>
    <w:link w:val="ad"/>
    <w:uiPriority w:val="99"/>
    <w:semiHidden/>
    <w:rsid w:val="00C80AC7"/>
  </w:style>
  <w:style w:type="paragraph" w:styleId="af">
    <w:name w:val="annotation subject"/>
    <w:basedOn w:val="ad"/>
    <w:next w:val="ad"/>
    <w:link w:val="af0"/>
    <w:uiPriority w:val="99"/>
    <w:semiHidden/>
    <w:unhideWhenUsed/>
    <w:rsid w:val="00C80AC7"/>
    <w:rPr>
      <w:b/>
      <w:bCs/>
    </w:rPr>
  </w:style>
  <w:style w:type="character" w:customStyle="1" w:styleId="af0">
    <w:name w:val="Тема примечания Знак"/>
    <w:basedOn w:val="ae"/>
    <w:link w:val="af"/>
    <w:uiPriority w:val="99"/>
    <w:semiHidden/>
    <w:rsid w:val="00C80AC7"/>
    <w:rPr>
      <w:b/>
      <w:bCs/>
    </w:rPr>
  </w:style>
  <w:style w:type="paragraph" w:styleId="af1">
    <w:name w:val="Balloon Text"/>
    <w:basedOn w:val="a"/>
    <w:link w:val="af2"/>
    <w:uiPriority w:val="99"/>
    <w:semiHidden/>
    <w:unhideWhenUsed/>
    <w:rsid w:val="00C80AC7"/>
    <w:rPr>
      <w:rFonts w:ascii="Segoe UI" w:hAnsi="Segoe UI" w:cs="Segoe UI"/>
      <w:sz w:val="18"/>
      <w:szCs w:val="18"/>
    </w:rPr>
  </w:style>
  <w:style w:type="character" w:customStyle="1" w:styleId="af2">
    <w:name w:val="Текст выноски Знак"/>
    <w:basedOn w:val="a0"/>
    <w:link w:val="af1"/>
    <w:uiPriority w:val="99"/>
    <w:semiHidden/>
    <w:rsid w:val="00C80AC7"/>
    <w:rPr>
      <w:rFonts w:ascii="Segoe UI" w:hAnsi="Segoe UI" w:cs="Segoe UI"/>
      <w:sz w:val="18"/>
      <w:szCs w:val="18"/>
    </w:rPr>
  </w:style>
  <w:style w:type="character" w:customStyle="1" w:styleId="30">
    <w:name w:val="Основний текст (3)_"/>
    <w:basedOn w:val="a0"/>
    <w:link w:val="31"/>
    <w:rsid w:val="00DE009A"/>
    <w:rPr>
      <w:rFonts w:ascii="Times New Roman" w:eastAsia="Times New Roman" w:hAnsi="Times New Roman" w:cs="Times New Roman"/>
      <w:b/>
      <w:bCs/>
      <w:sz w:val="26"/>
      <w:szCs w:val="26"/>
      <w:shd w:val="clear" w:color="auto" w:fill="FFFFFF"/>
    </w:rPr>
  </w:style>
  <w:style w:type="paragraph" w:customStyle="1" w:styleId="31">
    <w:name w:val="Основний текст (3)"/>
    <w:basedOn w:val="a"/>
    <w:link w:val="30"/>
    <w:rsid w:val="00DE009A"/>
    <w:pPr>
      <w:widowControl w:val="0"/>
      <w:shd w:val="clear" w:color="auto" w:fill="FFFFFF"/>
      <w:spacing w:line="360" w:lineRule="exact"/>
      <w:jc w:val="center"/>
    </w:pPr>
    <w:rPr>
      <w:rFonts w:ascii="Times New Roman" w:eastAsia="Times New Roman" w:hAnsi="Times New Roman" w:cs="Times New Roman"/>
      <w:b/>
      <w:bCs/>
      <w:sz w:val="26"/>
      <w:szCs w:val="26"/>
    </w:rPr>
  </w:style>
  <w:style w:type="paragraph" w:customStyle="1" w:styleId="tjbmf">
    <w:name w:val="tj bmf"/>
    <w:basedOn w:val="a"/>
    <w:rsid w:val="00BF3CB2"/>
    <w:pPr>
      <w:spacing w:before="100" w:beforeAutospacing="1" w:after="100" w:afterAutospacing="1"/>
    </w:pPr>
    <w:rPr>
      <w:rFonts w:ascii="Times New Roman" w:hAnsi="Times New Roman" w:cs="Times New Roman"/>
      <w:sz w:val="24"/>
      <w:szCs w:val="24"/>
      <w:lang w:val="ru-RU"/>
    </w:rPr>
  </w:style>
  <w:style w:type="character" w:styleId="af3">
    <w:name w:val="page number"/>
    <w:basedOn w:val="a0"/>
    <w:semiHidden/>
    <w:unhideWhenUsed/>
    <w:rsid w:val="00BF3CB2"/>
  </w:style>
</w:styles>
</file>

<file path=word/webSettings.xml><?xml version="1.0" encoding="utf-8"?>
<w:webSettings xmlns:r="http://schemas.openxmlformats.org/officeDocument/2006/relationships" xmlns:w="http://schemas.openxmlformats.org/wordprocessingml/2006/main">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46483030158064"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E064-0AB3-4A51-9FB2-D2307A81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37760</Words>
  <Characters>21524</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204</cp:revision>
  <dcterms:created xsi:type="dcterms:W3CDTF">2020-04-27T05:44:00Z</dcterms:created>
  <dcterms:modified xsi:type="dcterms:W3CDTF">2023-01-31T05:38:00Z</dcterms:modified>
</cp:coreProperties>
</file>