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409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Додаток №3</w:t>
      </w:r>
    </w:p>
    <w:p w14:paraId="5DB50546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133B2FB1" w14:textId="04983DA1" w:rsidR="00AB21D8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6FE5FEE3" w14:textId="77777777" w:rsid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30E674C7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7257BE4B" w14:textId="3D7F54A0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2B2C32BE" w14:textId="64C8455C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на виконання </w:t>
      </w:r>
      <w:r w:rsidR="00FA6BB9" w:rsidRPr="00F25A7A">
        <w:rPr>
          <w:rFonts w:eastAsia="Times New Roman" w:cs="Times New Roman"/>
          <w:b/>
          <w:sz w:val="23"/>
          <w:szCs w:val="23"/>
          <w:lang w:val="uk-UA" w:eastAsia="ru-RU"/>
        </w:rPr>
        <w:t>послуг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з </w:t>
      </w:r>
      <w:r w:rsidR="00DA6B6A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з відлову, стерилізації, профілактичного щеплення від сказу, кліпсування, перетримці та </w:t>
      </w:r>
      <w:bookmarkStart w:id="0" w:name="_Hlk157765094"/>
      <w:r w:rsidR="003A06FB" w:rsidRPr="003A06FB">
        <w:rPr>
          <w:rFonts w:eastAsia="Times New Roman" w:cs="Times New Roman"/>
          <w:b/>
          <w:sz w:val="23"/>
          <w:szCs w:val="23"/>
          <w:lang w:val="uk-UA" w:eastAsia="ru-RU"/>
        </w:rPr>
        <w:t>повернення безпритульних тварин (собак) до місця їх постійного перебування на території Дружківської міської територіальної громади</w:t>
      </w:r>
    </w:p>
    <w:bookmarkEnd w:id="0"/>
    <w:p w14:paraId="59A3614A" w14:textId="3B6771D5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 </w:t>
      </w:r>
      <w:r w:rsidR="002D2901" w:rsidRPr="00F25A7A">
        <w:rPr>
          <w:rFonts w:eastAsia="Times New Roman" w:cs="Times New Roman"/>
          <w:b/>
          <w:sz w:val="23"/>
          <w:szCs w:val="23"/>
          <w:lang w:val="uk-UA" w:eastAsia="ru-RU"/>
        </w:rPr>
        <w:t>85200000-1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– </w:t>
      </w:r>
      <w:r w:rsidR="002D2901" w:rsidRPr="00F25A7A">
        <w:rPr>
          <w:rFonts w:eastAsia="Times New Roman" w:cs="Times New Roman"/>
          <w:b/>
          <w:sz w:val="23"/>
          <w:szCs w:val="23"/>
          <w:lang w:val="uk-UA" w:eastAsia="ru-RU"/>
        </w:rPr>
        <w:t>ветеринарні послуги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F25A7A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48FF44B8" w:rsidR="00D23D2C" w:rsidRPr="00F25A7A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  <w:t>«____»_______________202</w:t>
      </w:r>
      <w:r w:rsidR="004A107F" w:rsidRPr="00F25A7A">
        <w:rPr>
          <w:rFonts w:eastAsia="Times New Roman" w:cs="Times New Roman"/>
          <w:sz w:val="23"/>
          <w:szCs w:val="23"/>
          <w:lang w:val="uk-UA" w:eastAsia="ru-RU"/>
        </w:rPr>
        <w:t>4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F25A7A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7463D57F" w14:textId="5D2BF808" w:rsidR="00793131" w:rsidRPr="00F25A7A" w:rsidRDefault="00793131" w:rsidP="00F25A7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1" w:name="_Hlk94184691"/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F25A7A">
        <w:rPr>
          <w:rFonts w:eastAsia="Times New Roman" w:cs="Times New Roman"/>
          <w:bCs/>
          <w:sz w:val="23"/>
          <w:szCs w:val="23"/>
          <w:lang w:val="uk-UA" w:eastAsia="ru-RU"/>
        </w:rPr>
        <w:t xml:space="preserve">(далі - </w:t>
      </w:r>
      <w:r w:rsidR="00952FCA" w:rsidRPr="00F25A7A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F25A7A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F25A7A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231964" w:rsidRPr="00F25A7A">
        <w:rPr>
          <w:rFonts w:eastAsia="Times New Roman" w:cs="Times New Roman"/>
          <w:sz w:val="23"/>
          <w:szCs w:val="23"/>
          <w:lang w:val="uk-UA" w:eastAsia="ru-RU"/>
        </w:rPr>
        <w:t>Косогова Володимира Володимировича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та</w:t>
      </w:r>
      <w:r w:rsidR="00F25A7A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231964" w:rsidRPr="00F25A7A"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</w:t>
      </w:r>
      <w:r w:rsidR="00F25A7A" w:rsidRPr="00F25A7A">
        <w:rPr>
          <w:rFonts w:eastAsia="Times New Roman" w:cs="Times New Roman"/>
          <w:sz w:val="23"/>
          <w:szCs w:val="23"/>
          <w:lang w:val="uk-UA" w:eastAsia="ru-RU"/>
        </w:rPr>
        <w:t>__________________________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F25A7A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F25A7A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1. ПРЕДМЕТ ДОГОВОРУ</w:t>
      </w:r>
    </w:p>
    <w:p w14:paraId="50A24ABE" w14:textId="3DA2F057" w:rsidR="00793131" w:rsidRPr="00F25A7A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лами та засобами виконати послуги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 xml:space="preserve">з відлову, стерилізації, профілактичного щеплення від сказу, кліпсування, перетримці та повернення </w:t>
      </w:r>
      <w:r w:rsidR="00611168">
        <w:rPr>
          <w:rFonts w:eastAsia="Times New Roman" w:cs="Times New Roman"/>
          <w:sz w:val="23"/>
          <w:szCs w:val="23"/>
          <w:lang w:val="uk-UA" w:eastAsia="ru-RU"/>
        </w:rPr>
        <w:t>безпритульних тварин (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>собак</w:t>
      </w:r>
      <w:r w:rsidR="00611168">
        <w:rPr>
          <w:rFonts w:eastAsia="Times New Roman" w:cs="Times New Roman"/>
          <w:sz w:val="23"/>
          <w:szCs w:val="23"/>
          <w:lang w:val="uk-UA" w:eastAsia="ru-RU"/>
        </w:rPr>
        <w:t>)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 xml:space="preserve"> до місця їх постійного перебування на території Дружківської міської територіальної громади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48236F57" w:rsidR="00793131" w:rsidRPr="00F25A7A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ється прийняти та оплатити послуг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и, зазначені в п. 1.1. цього Договору.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89F000" w14:textId="4E0621CC" w:rsidR="00793131" w:rsidRPr="00F25A7A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1.3. Виконавець надає послуги відповідно до розрахунку </w:t>
      </w:r>
      <w:r w:rsidR="0096760F" w:rsidRPr="0096760F">
        <w:rPr>
          <w:rFonts w:eastAsia="Times New Roman" w:cs="Times New Roman"/>
          <w:sz w:val="23"/>
          <w:szCs w:val="23"/>
          <w:lang w:val="uk-UA" w:eastAsia="ru-RU"/>
        </w:rPr>
        <w:t xml:space="preserve">ціни послуги з відлову, стерилізації, профілактичного щеплення від сказу, кліпсування, перетримці та повернення безпритульних тварин (собак) до місця їх постійного перебування на території Дружківської міської територіальної громади </w:t>
      </w:r>
      <w:r w:rsidRPr="00B16958">
        <w:rPr>
          <w:rFonts w:eastAsia="Times New Roman" w:cs="Times New Roman"/>
          <w:sz w:val="23"/>
          <w:szCs w:val="23"/>
          <w:lang w:val="uk-UA" w:eastAsia="ru-RU"/>
        </w:rPr>
        <w:t>(Додаток №</w:t>
      </w:r>
      <w:r w:rsidR="0096760F">
        <w:rPr>
          <w:rFonts w:eastAsia="Times New Roman" w:cs="Times New Roman"/>
          <w:sz w:val="23"/>
          <w:szCs w:val="23"/>
          <w:lang w:val="uk-UA" w:eastAsia="ru-RU"/>
        </w:rPr>
        <w:t xml:space="preserve"> 1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до Договору), який затверджується Замовником і Виконавцем.</w:t>
      </w:r>
    </w:p>
    <w:p w14:paraId="6AC934FF" w14:textId="77777777" w:rsidR="00793131" w:rsidRPr="00F25A7A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25614842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2. ЯКІСТЬ ПОСЛУГ</w:t>
      </w:r>
    </w:p>
    <w:p w14:paraId="16D5230C" w14:textId="3BF4219F" w:rsidR="002D2901" w:rsidRPr="00F25A7A" w:rsidRDefault="00793131" w:rsidP="002D2901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2.1.</w:t>
      </w:r>
      <w:r w:rsidR="00952FCA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 xml:space="preserve">Виконавець повинен надати Замовнику </w:t>
      </w:r>
      <w:bookmarkStart w:id="2" w:name="_Hlk94262920"/>
      <w:r w:rsidRPr="00F25A7A">
        <w:rPr>
          <w:rFonts w:eastAsia="Calibri" w:cs="Times New Roman"/>
          <w:sz w:val="23"/>
          <w:szCs w:val="23"/>
          <w:lang w:val="uk-UA" w:eastAsia="x-none"/>
        </w:rPr>
        <w:t xml:space="preserve">послуги, якість яких відповідає </w:t>
      </w:r>
      <w:bookmarkEnd w:id="2"/>
      <w:r w:rsidR="002D2901" w:rsidRPr="00F25A7A">
        <w:rPr>
          <w:rFonts w:eastAsia="Calibri" w:cs="Times New Roman"/>
          <w:sz w:val="23"/>
          <w:szCs w:val="23"/>
          <w:lang w:val="uk-UA" w:eastAsia="x-none"/>
        </w:rPr>
        <w:t>вимогам Законів України «Про захист тварин від жорстокого поводження», «Про захист населення від інфекційних хвороб», «Про ветеринарну медицину», постанові Кабінету Міністрів України «Про затвердження Правил транспортування тварин», організаційно-методичним рекомендаціям, санітарних норм, правилам МОЗ України та іншим нормативним актів, тощо.</w:t>
      </w:r>
    </w:p>
    <w:p w14:paraId="05FD235C" w14:textId="1FBAB6AB" w:rsidR="00793131" w:rsidRPr="00F25A7A" w:rsidRDefault="002D2901" w:rsidP="002D2901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Надання послуг повинно базуватися на принципах гуманності та захисту тварин від жорстокого поводження, що регулюється чинним законодавством України.</w:t>
      </w:r>
    </w:p>
    <w:p w14:paraId="5B4226DC" w14:textId="77777777" w:rsidR="00793131" w:rsidRPr="00F25A7A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3. ЦІНА ДОГОВОРУ</w:t>
      </w:r>
    </w:p>
    <w:p w14:paraId="27B76BD0" w14:textId="27E9D7DF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3.1.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F25A7A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F25A7A">
        <w:rPr>
          <w:rFonts w:eastAsia="Calibri" w:cs="Times New Roman"/>
          <w:sz w:val="23"/>
          <w:szCs w:val="23"/>
          <w:lang w:val="uk-UA"/>
        </w:rPr>
        <w:t>.</w:t>
      </w:r>
      <w:r w:rsidRPr="00F25A7A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F25A7A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3.3.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F25A7A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4. ПОРЯДОК ЗДІЙСНЕННЯ ОПЛАТИ</w:t>
      </w:r>
    </w:p>
    <w:p w14:paraId="78888B04" w14:textId="649CC78D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lastRenderedPageBreak/>
        <w:t xml:space="preserve">наданих послуг, не пізніше </w:t>
      </w:r>
      <w:r w:rsidR="00CF0EEE" w:rsidRPr="00F25A7A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CF0EEE" w:rsidRPr="00F25A7A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F25A7A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оплату, після підписання Сторонами</w:t>
      </w:r>
      <w:r w:rsidRPr="00F25A7A">
        <w:rPr>
          <w:rFonts w:eastAsia="Calibri" w:cs="Times New Roman"/>
          <w:bCs/>
          <w:color w:val="FF0000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bCs/>
          <w:sz w:val="23"/>
          <w:szCs w:val="23"/>
          <w:lang w:val="uk-UA"/>
        </w:rPr>
        <w:t>акту (актів) наданих послуг.</w:t>
      </w:r>
    </w:p>
    <w:p w14:paraId="294A2133" w14:textId="7424394F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F25A7A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наданих послуг у разі затримки бюджетного фінансування.</w:t>
      </w:r>
    </w:p>
    <w:p w14:paraId="1BE8680A" w14:textId="7DB3D610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5. СТРОК ТА МІСЦЕ НАДАННЯ ПОСЛУГ</w:t>
      </w:r>
    </w:p>
    <w:p w14:paraId="3DEBF830" w14:textId="5BC51B55" w:rsidR="00793131" w:rsidRPr="00F25A7A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F25A7A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послуг: </w:t>
      </w:r>
      <w:r w:rsidR="009F4703">
        <w:rPr>
          <w:rFonts w:eastAsia="Calibri" w:cs="Times New Roman"/>
          <w:spacing w:val="3"/>
          <w:sz w:val="23"/>
          <w:szCs w:val="23"/>
          <w:lang w:val="uk-UA"/>
        </w:rPr>
        <w:t xml:space="preserve">протягом 2024 </w:t>
      </w:r>
      <w:r w:rsidR="00FE6381" w:rsidRPr="00F25A7A">
        <w:rPr>
          <w:rFonts w:eastAsia="Calibri" w:cs="Times New Roman"/>
          <w:spacing w:val="3"/>
          <w:sz w:val="23"/>
          <w:szCs w:val="23"/>
          <w:lang w:val="uk-UA"/>
        </w:rPr>
        <w:t>року</w:t>
      </w:r>
      <w:r w:rsidR="00173C2E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. </w:t>
      </w:r>
    </w:p>
    <w:p w14:paraId="209D17E4" w14:textId="603C3030" w:rsidR="00793131" w:rsidRPr="00F25A7A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F25A7A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F25A7A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pacing w:val="1"/>
          <w:sz w:val="23"/>
          <w:szCs w:val="23"/>
          <w:lang w:val="uk-UA"/>
        </w:rPr>
        <w:t>Місце надання послуг: Дружківська міська територіальна громада.</w:t>
      </w:r>
    </w:p>
    <w:p w14:paraId="248C39B3" w14:textId="77777777" w:rsidR="00070CB9" w:rsidRPr="00F25A7A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F25A7A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6. ПРАВА ТА ОБОВ'ЯЗКИ СТОРІН</w:t>
      </w:r>
    </w:p>
    <w:p w14:paraId="3EAFCC93" w14:textId="4185110A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6.1.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Замовник зобов'язаний:</w:t>
      </w:r>
    </w:p>
    <w:p w14:paraId="794807F4" w14:textId="6EFCFCD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надані послуги;</w:t>
      </w:r>
    </w:p>
    <w:p w14:paraId="5B6612B3" w14:textId="013E26A4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приймати надані послуги, якість яких відповідає умовам Договору, згідно з актом (актами) наданих послуг;</w:t>
      </w:r>
    </w:p>
    <w:p w14:paraId="75E84EFE" w14:textId="385090FD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6.1.3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6C2B4AAD" w14:textId="27683B10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Замовник має право:</w:t>
      </w:r>
    </w:p>
    <w:p w14:paraId="53DCB7F9" w14:textId="17CEC3A0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6.2.1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3EDD0953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6.2.2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контролювати надання послуг у строки, встановлені цим Договором;</w:t>
      </w:r>
    </w:p>
    <w:p w14:paraId="420E30A1" w14:textId="73449C2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7777777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6.2.5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51B499E1" w14:textId="77777777" w:rsidR="00FF1A0B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Виконавець зобов'язаний</w:t>
      </w:r>
      <w:r w:rsidR="00FF1A0B">
        <w:rPr>
          <w:rFonts w:eastAsia="Calibri" w:cs="Times New Roman"/>
          <w:sz w:val="23"/>
          <w:szCs w:val="23"/>
          <w:lang w:val="uk-UA"/>
        </w:rPr>
        <w:t>:</w:t>
      </w:r>
    </w:p>
    <w:p w14:paraId="1C43883A" w14:textId="6A988479" w:rsidR="00793131" w:rsidRDefault="00FF1A0B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6.3.1. з</w:t>
      </w:r>
      <w:r w:rsidR="00793131" w:rsidRPr="00F25A7A">
        <w:rPr>
          <w:rFonts w:eastAsia="Calibri" w:cs="Times New Roman"/>
          <w:sz w:val="23"/>
          <w:szCs w:val="23"/>
          <w:lang w:val="uk-UA"/>
        </w:rPr>
        <w:t>абезпечити надання послуг належної якості у строки, встановлені цим Договором</w:t>
      </w:r>
      <w:r>
        <w:rPr>
          <w:rFonts w:eastAsia="Calibri" w:cs="Times New Roman"/>
          <w:sz w:val="23"/>
          <w:szCs w:val="23"/>
          <w:lang w:val="uk-UA"/>
        </w:rPr>
        <w:t>;</w:t>
      </w:r>
    </w:p>
    <w:p w14:paraId="588B7821" w14:textId="6AC1822B" w:rsidR="00FF1A0B" w:rsidRPr="00F25A7A" w:rsidRDefault="00FF1A0B" w:rsidP="00FF1A0B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6.3.2. б</w:t>
      </w:r>
      <w:r w:rsidRPr="00FF1A0B">
        <w:rPr>
          <w:rFonts w:eastAsia="Calibri" w:cs="Times New Roman"/>
          <w:sz w:val="23"/>
          <w:szCs w:val="23"/>
          <w:lang w:val="uk-UA"/>
        </w:rPr>
        <w:t>езоплатно виправити допущені недоліки в наданні Послуг, у визначений</w:t>
      </w:r>
      <w:r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lang w:val="uk-UA"/>
        </w:rPr>
        <w:t>Замовником термін, або компенсувати понесені витрати Замовника на їх виправлення.</w:t>
      </w:r>
    </w:p>
    <w:p w14:paraId="65CDE3D9" w14:textId="4AE168AA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6.4.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Виконавець має право:</w:t>
      </w:r>
    </w:p>
    <w:p w14:paraId="26AAE050" w14:textId="778E9272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A4CA92E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надані послуги.</w:t>
      </w:r>
    </w:p>
    <w:p w14:paraId="44190965" w14:textId="77777777" w:rsidR="00793131" w:rsidRPr="00F25A7A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7. ВІДПОВІДАЛЬНІСТЬ СТОРІН</w:t>
      </w:r>
    </w:p>
    <w:p w14:paraId="2E0F31F4" w14:textId="4C419A2F" w:rsidR="00793131" w:rsidRPr="00F25A7A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F25A7A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7.2.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74A41559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7.3.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56F52858" w14:textId="77777777" w:rsidR="00FF1A0B" w:rsidRDefault="00FF1A0B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76A299DA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8. ОБСТАВИНИ НЕПЕРЕБОРНОЇ СИЛИ</w:t>
      </w:r>
    </w:p>
    <w:p w14:paraId="204C6CAD" w14:textId="513D0D5D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8.1.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lastRenderedPageBreak/>
        <w:t>8.2.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3B7E390E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8.3.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У разі коли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51B77F63" w14:textId="77777777" w:rsidR="00173C2E" w:rsidRPr="00F25A7A" w:rsidRDefault="00173C2E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08B6390E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9. ВИРІШЕННЯ СПОРІВ</w:t>
      </w:r>
    </w:p>
    <w:p w14:paraId="08B47DE1" w14:textId="687E501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9.1.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2C8C6F55" w14:textId="5A05FEAE" w:rsidR="00F25A7A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9.2.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F25A7A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19E74708" w14:textId="314CC661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10. СТРОК ДІЇ ДОГОВОРУ</w:t>
      </w:r>
    </w:p>
    <w:p w14:paraId="12BD3B31" w14:textId="66A8F0E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10.1.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F25A7A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B006A1">
        <w:rPr>
          <w:rFonts w:eastAsia="Calibri" w:cs="Times New Roman"/>
          <w:sz w:val="23"/>
          <w:szCs w:val="23"/>
          <w:lang w:val="uk-UA"/>
        </w:rPr>
        <w:t>13.05</w:t>
      </w:r>
      <w:r w:rsidR="00E603CC" w:rsidRPr="009F4703">
        <w:rPr>
          <w:rFonts w:eastAsia="Calibri" w:cs="Times New Roman"/>
          <w:sz w:val="23"/>
          <w:szCs w:val="23"/>
          <w:lang w:val="uk-UA"/>
        </w:rPr>
        <w:t>.2024</w:t>
      </w:r>
      <w:r w:rsidR="00211008" w:rsidRPr="00F25A7A">
        <w:rPr>
          <w:rFonts w:eastAsia="Calibri" w:cs="Times New Roman"/>
          <w:sz w:val="23"/>
          <w:szCs w:val="23"/>
          <w:lang w:val="uk-UA"/>
        </w:rPr>
        <w:t xml:space="preserve"> року, (термін закінчення дії воєнного стану та відповідно Постанови 1178 від 12 жовтня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F25A7A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які виникли з </w:t>
      </w:r>
      <w:r w:rsidR="00950EFB" w:rsidRPr="00F25A7A">
        <w:rPr>
          <w:rFonts w:eastAsia="Calibri" w:cs="Times New Roman"/>
          <w:sz w:val="23"/>
          <w:szCs w:val="23"/>
          <w:lang w:val="uk-UA"/>
        </w:rPr>
        <w:t>________________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F25A7A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10.3</w:t>
      </w:r>
      <w:r w:rsidR="00793131" w:rsidRPr="00F25A7A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F25A7A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11. ІНШІ УМОВИ</w:t>
      </w:r>
    </w:p>
    <w:p w14:paraId="4DE6440A" w14:textId="338300C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7B8A3FA5" w14:textId="70E200B8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11.4.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Істотні умови договору про закупівлю не можуть змінюватися після його підписання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до виконання зобов'язань Сторонами в повному обсязі, крім випадків:</w:t>
      </w:r>
    </w:p>
    <w:p w14:paraId="1F102D31" w14:textId="5BA9A775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зменшення обсягів закупівлі, зокрема з урахуванням фактичного обсягу видатків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замовника;</w:t>
      </w:r>
    </w:p>
    <w:p w14:paraId="3EB64E12" w14:textId="77777777" w:rsid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за одиницю товару в договорі про закупівлю у разі коливання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ринку', що відбулося з моменту укладення договору про закупівлю або останнього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внесення змін до договору про закупівлю в частині зміни ціни за одиницю товару. Зміна ціни за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одиницю товару здійснюється пропорційно коливанню ціни такого товару на ринку (відсоток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ціни за одиницю товару не може перевищувати відсоток коливання (збільшення)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ринку) за умови документального підтвердження такого коливання та не повинна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призвести до збільшення суми, визначеної в договорі про закупівлю на момент його укладення.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3A22F82" w14:textId="635F0593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покращення якості предмета закупівлі за умови, що таке покращення не призведе 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суми, визначеної в договорі про закупівлю;</w:t>
      </w:r>
    </w:p>
    <w:p w14:paraId="289AA56E" w14:textId="3644BE30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продовження строку дії договору про закупівлю та/або строку виконання зобов’язань щодо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передачі товару, виконання робіт, надання послуг у разі виникнення доку ментально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підтверджених об’єктивних обставин, що спричинили таке продовження, у тому числі обставин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непереборної сили, затримки фінансування витрат замовника, за умови, що такі зміни не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призведуть до збільшення суми, визначеної в договорі про закупівлю;</w:t>
      </w:r>
    </w:p>
    <w:p w14:paraId="7255B5B3" w14:textId="5CCC6F47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в договорі про закупівлю в бік зменшення (без зміни кількості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(обсягу) та якості товарів, робіт і послуг);</w:t>
      </w:r>
    </w:p>
    <w:p w14:paraId="07290F38" w14:textId="2F723F5E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lastRenderedPageBreak/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зміни ціни в договорі про закупівлю у зв’язку з зміною ставок податків і зборів та або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зміною умов щодо надання пільг з оподаткування - пропорційно до зміни таких ставок та/або пільг</w:t>
      </w:r>
      <w:r w:rsidR="00C613C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 оподаткування, а також у зв’язку із зміною системи оподаткування пропорційно до зміни</w:t>
      </w:r>
      <w:r w:rsidR="00C613C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податкового навантаження внаслідок зміни системи оподаткування;</w:t>
      </w:r>
    </w:p>
    <w:p w14:paraId="20B419EC" w14:textId="75DFC249" w:rsidR="00FF1A0B" w:rsidRPr="00FF1A0B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зміни встановленого згідно із законодавством органами державної статистики індексу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споживчих цін, зміни курсу іноземної валюти, зміни біржових котирувань або показників Platts,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ARGUS, регульованих цін (тарифів), нормативів, середньозважених цін на електроенергію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ринку “на добу наперед”, що застосовуються в договорі про закупівлю, у разі встановлення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договорі про закупівлю порядку зміни ціни;</w:t>
      </w:r>
    </w:p>
    <w:p w14:paraId="385328C2" w14:textId="7E7520BD" w:rsidR="00FF1A0B" w:rsidRPr="00FF1A0B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зміни умов у зв’язку із застосуванням положень частини шостої статті 41 Закону;</w:t>
      </w:r>
    </w:p>
    <w:p w14:paraId="7F730043" w14:textId="501B76BF" w:rsidR="00FF1A0B" w:rsidRPr="00F25A7A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зменшення обсягів закупівлі та/або ціни згідно з договорами про закупівлю робіт з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будівництва об’єктів нерухомого майна відповідно до постанови Кабінету Міністрів України від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25</w:t>
      </w:r>
      <w:r>
        <w:rPr>
          <w:rFonts w:eastAsia="Times New Roman" w:cs="Times New Roman"/>
          <w:sz w:val="23"/>
          <w:szCs w:val="23"/>
          <w:lang w:val="uk-UA" w:eastAsia="ru-RU"/>
        </w:rPr>
        <w:t>.04.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2023 р</w:t>
      </w:r>
      <w:r>
        <w:rPr>
          <w:rFonts w:eastAsia="Times New Roman" w:cs="Times New Roman"/>
          <w:sz w:val="23"/>
          <w:szCs w:val="23"/>
          <w:lang w:val="uk-UA" w:eastAsia="ru-RU"/>
        </w:rPr>
        <w:t>оку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/>
          <w:sz w:val="23"/>
          <w:szCs w:val="23"/>
          <w:lang w:val="uk-UA" w:eastAsia="ru-RU"/>
        </w:rPr>
        <w:t>№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382 “Про реалізацію експериментального проекту щодо відновлення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населених пунктів, які постраждали внаслідок збройної агресії Російської Федерації” (Офіційний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вісник України, 2023 р., No 46, ст. 2466), якщо розроблення проектної документації покладено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підрядника, після проведення експертизи та затвердження проектної документації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установленому законодавством порядку.</w:t>
      </w:r>
    </w:p>
    <w:p w14:paraId="1A72BD71" w14:textId="77777777" w:rsid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11.4. 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38D2EB19" w14:textId="03F17149" w:rsidR="00AE0421" w:rsidRDefault="00AE0421" w:rsidP="00AE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11.5.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Всі документи (листи, повідомлення, інша кореспонденція, заявки та ін.), що будуть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відправлені Замовником на поштову адресу Виконавця, вказану у Договорі, вважаються такими,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що були відправлені належним чином належному отримувачу до тих пір, поки Виконавець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письмово не повідомить Замовника про зміну свого місцезнаходження (із доказами про отримання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Замовником такого повідомлення). Уся кореспонденція, що направляється Замовником,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вважається отриманою Виконавцем не пізніше 14-ти днів з моменту їх відправки Замовником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адресу Виконавця, зазначену в Договорі.</w:t>
      </w:r>
    </w:p>
    <w:p w14:paraId="1C813DBE" w14:textId="77777777" w:rsidR="00AE0421" w:rsidRDefault="00AE0421" w:rsidP="00AE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62193912" w14:textId="77777777" w:rsidR="00D16B12" w:rsidRPr="00F25A7A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tbl>
      <w:tblPr>
        <w:tblStyle w:val="a6"/>
        <w:tblpPr w:leftFromText="180" w:rightFromText="180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10061" w:rsidRPr="00F25A7A" w14:paraId="5F0E2BF5" w14:textId="77777777" w:rsidTr="00410061">
        <w:trPr>
          <w:trHeight w:val="4955"/>
        </w:trPr>
        <w:tc>
          <w:tcPr>
            <w:tcW w:w="4672" w:type="dxa"/>
          </w:tcPr>
          <w:p w14:paraId="069F6756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3" w:name="_Hlk94184629"/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2C4BFECC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7A7AA68E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E549C9B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Адреса: 84200 Донецька область,                   м. Дружківка, вул. Соборна, 16, каб. 313</w:t>
            </w:r>
          </w:p>
          <w:p w14:paraId="1F08CC70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F97AE45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9054EC7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0BAC0D99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6292703C" w14:textId="77777777" w:rsidR="00410061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D4E1E02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тел. 0997350130</w:t>
            </w:r>
          </w:p>
          <w:p w14:paraId="07A63E07" w14:textId="011CD256" w:rsidR="00410061" w:rsidRPr="0096760F" w:rsidRDefault="00000000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6" w:history="1">
              <w:r w:rsidR="00410061"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26E89CD8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4D5C54A" w14:textId="77777777" w:rsidR="00410061" w:rsidRPr="00F25A7A" w:rsidRDefault="00410061" w:rsidP="00410061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Начальник Управління житлового та комунального господарства Дружківської міської ради</w:t>
            </w:r>
          </w:p>
          <w:p w14:paraId="57FE71E9" w14:textId="77777777" w:rsidR="00410061" w:rsidRPr="00F25A7A" w:rsidRDefault="00410061" w:rsidP="00410061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764E32A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546BB532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4313316E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525C22E0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3B2C404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16A2B8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B6D61C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E4E0A81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2F5DB91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F5284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418485A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29C5CAC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9BD9E6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D0314DD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4437A2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616F10E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92A908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0F89C23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C8AAA8D" w14:textId="77777777" w:rsidR="00410061" w:rsidRDefault="00410061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F85577" w14:textId="77777777" w:rsidR="00BE7DC6" w:rsidRDefault="00BE7DC6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FA554F0" w14:textId="77777777" w:rsidR="00BE7DC6" w:rsidRPr="00F25A7A" w:rsidRDefault="00BE7DC6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662E63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</w:tbl>
    <w:bookmarkEnd w:id="3"/>
    <w:p w14:paraId="1781F081" w14:textId="4E6C803F" w:rsidR="00950EFB" w:rsidRPr="00F25A7A" w:rsidRDefault="00AE0421" w:rsidP="00AE04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  <w:r w:rsidR="00070CB9" w:rsidRPr="00F25A7A">
        <w:rPr>
          <w:rFonts w:eastAsia="Calibri" w:cs="Times New Roman"/>
          <w:b/>
          <w:bCs/>
          <w:sz w:val="23"/>
          <w:szCs w:val="23"/>
          <w:lang w:val="uk-UA"/>
        </w:rPr>
        <w:t>12. МІСЦЕЗНАХОДЖЕННЯ ТА БАНКІВСЬКІ РЕКВІЗИТИ СТОРІН</w:t>
      </w:r>
      <w:bookmarkEnd w:id="1"/>
    </w:p>
    <w:p w14:paraId="2EA7D421" w14:textId="0BB5F354" w:rsidR="00950EFB" w:rsidRPr="00F25A7A" w:rsidRDefault="00950EFB" w:rsidP="00950EFB">
      <w:pPr>
        <w:rPr>
          <w:rFonts w:eastAsia="Times New Roman" w:cs="Times New Roman"/>
          <w:sz w:val="23"/>
          <w:szCs w:val="23"/>
          <w:lang w:val="uk-UA" w:eastAsia="ru-RU"/>
        </w:rPr>
        <w:sectPr w:rsidR="00950EFB" w:rsidRPr="00F25A7A" w:rsidSect="00AC1251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14:paraId="25BE6486" w14:textId="1AFF5188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lastRenderedPageBreak/>
        <w:t>Додаток №1</w:t>
      </w:r>
    </w:p>
    <w:p w14:paraId="142325E6" w14:textId="77777777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до Договору № </w:t>
      </w:r>
      <w:r w:rsidRPr="00F25A7A">
        <w:rPr>
          <w:rFonts w:eastAsia="Times New Roman" w:cs="Times New Roman"/>
          <w:b/>
          <w:bCs/>
          <w:smallCaps/>
          <w:color w:val="000000"/>
          <w:sz w:val="23"/>
          <w:szCs w:val="23"/>
          <w:lang w:val="uk-UA" w:eastAsia="ru-RU"/>
        </w:rPr>
        <w:t>____________</w:t>
      </w:r>
    </w:p>
    <w:p w14:paraId="2371AB65" w14:textId="579D4B6C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в</w:t>
      </w:r>
      <w:r w:rsidR="003C3EC0"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ід  «___»___________________202</w:t>
      </w:r>
      <w:r w:rsidR="00E603CC"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4</w:t>
      </w: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року</w:t>
      </w:r>
    </w:p>
    <w:p w14:paraId="5AC8F611" w14:textId="77777777" w:rsidR="00AB21D8" w:rsidRPr="00F25A7A" w:rsidRDefault="00AB21D8" w:rsidP="00026A3D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5C14EA8" w14:textId="4A7E61B0" w:rsidR="003C3EC0" w:rsidRPr="00F25A7A" w:rsidRDefault="00AB21D8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  <w:bookmarkStart w:id="4" w:name="_Hlk157772330"/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Розрахунок  </w:t>
      </w:r>
      <w:r w:rsid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ціни послуги </w:t>
      </w:r>
      <w:r w:rsidR="00AE0421" w:rsidRP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з відлову, стерилізації, профілактичного щеплення від сказу, кліпсування, перетримці та повернення безпритульних тварин (собак) до місця їх постійного перебування на території Дружківської міської територіальної громади</w:t>
      </w:r>
    </w:p>
    <w:bookmarkEnd w:id="4"/>
    <w:p w14:paraId="63F348B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7396B7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0DCD660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18FD69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0BE8B80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8FA65C5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91F2037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A23BC2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57F67D75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637E86B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9DC0E7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1A23AA8C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55282FE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97824B7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1253D2D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CA89FC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0619C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51183BD4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F25A7A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F25A7A" w:rsidRDefault="00026A3D" w:rsidP="00026A3D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5" w:name="_Hlk94184717"/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79C146B2" w14:textId="77777777" w:rsidR="00026A3D" w:rsidRPr="00F25A7A" w:rsidRDefault="00026A3D" w:rsidP="00026A3D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F25A7A" w:rsidRDefault="00026A3D" w:rsidP="00026A3D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281932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Адреса: 84200 Донецька область,                   м. Дружківка, вул. Соборна, 16, каб. 313</w:t>
            </w:r>
          </w:p>
          <w:p w14:paraId="405B9B3C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5F213E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7D8B1632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5BDF71BA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261AC643" w14:textId="77777777" w:rsidR="0096760F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6C34BC13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тел. 0997350130</w:t>
            </w:r>
          </w:p>
          <w:p w14:paraId="3E200689" w14:textId="77777777" w:rsidR="0096760F" w:rsidRPr="0096760F" w:rsidRDefault="00000000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7" w:history="1">
              <w:r w:rsidR="0096760F"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524EB3E5" w14:textId="77777777" w:rsidR="00026A3D" w:rsidRPr="00F25A7A" w:rsidRDefault="00026A3D" w:rsidP="00026A3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1E57473B" w14:textId="77777777" w:rsidR="00A5388F" w:rsidRPr="00F25A7A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Начальник Управління житлового та комунального господарства Дружківської міської ради</w:t>
            </w:r>
          </w:p>
          <w:p w14:paraId="1554625A" w14:textId="77777777" w:rsidR="00A5388F" w:rsidRPr="00F25A7A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F25A7A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F25A7A" w:rsidRDefault="00026A3D" w:rsidP="00026A3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</w:t>
            </w:r>
            <w:r w:rsidRPr="00F25A7A">
              <w:rPr>
                <w:rFonts w:eastAsia="Times New Roman" w:cs="Times New Roman"/>
                <w:b/>
                <w:sz w:val="23"/>
                <w:szCs w:val="23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Pr="00F25A7A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Pr="00F25A7A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A501101" w14:textId="57CA0F3D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3F7E1D6" w14:textId="77777777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3379E8C" w14:textId="77777777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407CC4EC" w:rsidR="00C13B95" w:rsidRPr="00F25A7A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</w:t>
            </w:r>
            <w:r w:rsidR="00D92A22"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</w:t>
            </w:r>
          </w:p>
          <w:p w14:paraId="7AD11A59" w14:textId="7FF8AFA9" w:rsidR="00026A3D" w:rsidRPr="00F25A7A" w:rsidRDefault="00C13B95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5"/>
    </w:tbl>
    <w:p w14:paraId="461F1CDF" w14:textId="069528C1" w:rsidR="007C58E7" w:rsidRPr="00F25A7A" w:rsidRDefault="007C58E7" w:rsidP="0096760F">
      <w:pPr>
        <w:spacing w:after="0" w:line="240" w:lineRule="auto"/>
        <w:rPr>
          <w:rFonts w:cs="Times New Roman"/>
          <w:sz w:val="23"/>
          <w:szCs w:val="23"/>
          <w:lang w:val="uk-UA"/>
        </w:rPr>
      </w:pPr>
    </w:p>
    <w:sectPr w:rsidR="007C58E7" w:rsidRPr="00F25A7A" w:rsidSect="00AC1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716BD"/>
    <w:rsid w:val="000935EC"/>
    <w:rsid w:val="000E34F5"/>
    <w:rsid w:val="000E3B2A"/>
    <w:rsid w:val="000E3E70"/>
    <w:rsid w:val="0010483B"/>
    <w:rsid w:val="00137749"/>
    <w:rsid w:val="001444A5"/>
    <w:rsid w:val="00145CC8"/>
    <w:rsid w:val="00146934"/>
    <w:rsid w:val="0015048E"/>
    <w:rsid w:val="00160A98"/>
    <w:rsid w:val="00173C2E"/>
    <w:rsid w:val="001848AA"/>
    <w:rsid w:val="001C7C14"/>
    <w:rsid w:val="001D3D34"/>
    <w:rsid w:val="001F19B1"/>
    <w:rsid w:val="00207A51"/>
    <w:rsid w:val="00211008"/>
    <w:rsid w:val="0021514B"/>
    <w:rsid w:val="00231964"/>
    <w:rsid w:val="00270B8A"/>
    <w:rsid w:val="00296C97"/>
    <w:rsid w:val="002B6319"/>
    <w:rsid w:val="002D2901"/>
    <w:rsid w:val="002E0313"/>
    <w:rsid w:val="0033487A"/>
    <w:rsid w:val="00352F29"/>
    <w:rsid w:val="00357CC8"/>
    <w:rsid w:val="00370D14"/>
    <w:rsid w:val="00385A68"/>
    <w:rsid w:val="003A06FB"/>
    <w:rsid w:val="003A6E1B"/>
    <w:rsid w:val="003C1CBE"/>
    <w:rsid w:val="003C3301"/>
    <w:rsid w:val="003C36FA"/>
    <w:rsid w:val="003C3EC0"/>
    <w:rsid w:val="003C4BF8"/>
    <w:rsid w:val="003F2BBC"/>
    <w:rsid w:val="00410061"/>
    <w:rsid w:val="00444541"/>
    <w:rsid w:val="00447A70"/>
    <w:rsid w:val="0045728F"/>
    <w:rsid w:val="00464211"/>
    <w:rsid w:val="00473444"/>
    <w:rsid w:val="004A107F"/>
    <w:rsid w:val="004A75EA"/>
    <w:rsid w:val="004B65E6"/>
    <w:rsid w:val="004C7773"/>
    <w:rsid w:val="00502A62"/>
    <w:rsid w:val="00502D7E"/>
    <w:rsid w:val="005322AC"/>
    <w:rsid w:val="005323DD"/>
    <w:rsid w:val="00536BA8"/>
    <w:rsid w:val="00577300"/>
    <w:rsid w:val="005C737C"/>
    <w:rsid w:val="00611168"/>
    <w:rsid w:val="00620FBF"/>
    <w:rsid w:val="006907DF"/>
    <w:rsid w:val="00696CDB"/>
    <w:rsid w:val="006A5C1D"/>
    <w:rsid w:val="006A711F"/>
    <w:rsid w:val="006C5395"/>
    <w:rsid w:val="006E7B57"/>
    <w:rsid w:val="006F3834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42BFD"/>
    <w:rsid w:val="00845DE4"/>
    <w:rsid w:val="008564E3"/>
    <w:rsid w:val="00875137"/>
    <w:rsid w:val="008A59C8"/>
    <w:rsid w:val="008D3747"/>
    <w:rsid w:val="00914DA3"/>
    <w:rsid w:val="00950EFB"/>
    <w:rsid w:val="00952FCA"/>
    <w:rsid w:val="0096760F"/>
    <w:rsid w:val="009737C7"/>
    <w:rsid w:val="0099154C"/>
    <w:rsid w:val="009A16EC"/>
    <w:rsid w:val="009C61E2"/>
    <w:rsid w:val="009E3122"/>
    <w:rsid w:val="009F4703"/>
    <w:rsid w:val="009F49C3"/>
    <w:rsid w:val="00A1096C"/>
    <w:rsid w:val="00A142F5"/>
    <w:rsid w:val="00A153D7"/>
    <w:rsid w:val="00A1752F"/>
    <w:rsid w:val="00A32010"/>
    <w:rsid w:val="00A427DF"/>
    <w:rsid w:val="00A5388F"/>
    <w:rsid w:val="00A560B2"/>
    <w:rsid w:val="00A719D6"/>
    <w:rsid w:val="00A80F5A"/>
    <w:rsid w:val="00A90932"/>
    <w:rsid w:val="00AB21D8"/>
    <w:rsid w:val="00AC1251"/>
    <w:rsid w:val="00AE0421"/>
    <w:rsid w:val="00AE313B"/>
    <w:rsid w:val="00AE49B4"/>
    <w:rsid w:val="00AE50B7"/>
    <w:rsid w:val="00B006A1"/>
    <w:rsid w:val="00B16958"/>
    <w:rsid w:val="00B62CA1"/>
    <w:rsid w:val="00B80B13"/>
    <w:rsid w:val="00B937A5"/>
    <w:rsid w:val="00BD30C1"/>
    <w:rsid w:val="00BD4852"/>
    <w:rsid w:val="00BE7DC6"/>
    <w:rsid w:val="00C01A9D"/>
    <w:rsid w:val="00C13B95"/>
    <w:rsid w:val="00C279EA"/>
    <w:rsid w:val="00C3303D"/>
    <w:rsid w:val="00C613C2"/>
    <w:rsid w:val="00C673AD"/>
    <w:rsid w:val="00C926FB"/>
    <w:rsid w:val="00CD6DAA"/>
    <w:rsid w:val="00CF0EEE"/>
    <w:rsid w:val="00CF658F"/>
    <w:rsid w:val="00D155B3"/>
    <w:rsid w:val="00D16B12"/>
    <w:rsid w:val="00D23D2C"/>
    <w:rsid w:val="00D619D1"/>
    <w:rsid w:val="00D82CFB"/>
    <w:rsid w:val="00D92A22"/>
    <w:rsid w:val="00D96EC0"/>
    <w:rsid w:val="00DA24FF"/>
    <w:rsid w:val="00DA6B6A"/>
    <w:rsid w:val="00DA7BFD"/>
    <w:rsid w:val="00DE1697"/>
    <w:rsid w:val="00DE706F"/>
    <w:rsid w:val="00DF08E2"/>
    <w:rsid w:val="00E35985"/>
    <w:rsid w:val="00E52D5E"/>
    <w:rsid w:val="00E603CC"/>
    <w:rsid w:val="00E63380"/>
    <w:rsid w:val="00E71085"/>
    <w:rsid w:val="00E72FB8"/>
    <w:rsid w:val="00EC43B0"/>
    <w:rsid w:val="00ED3FAD"/>
    <w:rsid w:val="00EE108E"/>
    <w:rsid w:val="00EE2808"/>
    <w:rsid w:val="00F03293"/>
    <w:rsid w:val="00F22A7D"/>
    <w:rsid w:val="00F25A7A"/>
    <w:rsid w:val="00F52D7E"/>
    <w:rsid w:val="00FA05F9"/>
    <w:rsid w:val="00FA6BB9"/>
    <w:rsid w:val="00FE638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10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6443858@ma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443858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13</cp:revision>
  <cp:lastPrinted>2024-01-26T09:53:00Z</cp:lastPrinted>
  <dcterms:created xsi:type="dcterms:W3CDTF">2024-02-02T09:21:00Z</dcterms:created>
  <dcterms:modified xsi:type="dcterms:W3CDTF">2024-02-06T13:27:00Z</dcterms:modified>
</cp:coreProperties>
</file>