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81121E">
      <w:pPr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81121E">
      <w:pPr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E838D2">
      <w:pPr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4668CF">
      <w:pPr>
        <w:jc w:val="both"/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46733CC7" w:rsidR="00B037EA" w:rsidRDefault="00E838D2" w:rsidP="00B037EA">
      <w:pPr>
        <w:jc w:val="both"/>
      </w:pPr>
      <w:r w:rsidRPr="000A02E9">
        <w:rPr>
          <w:i/>
        </w:rPr>
        <w:t>ДК 021:2015 - 44</w:t>
      </w:r>
      <w:r w:rsidR="008A5B71">
        <w:rPr>
          <w:i/>
        </w:rPr>
        <w:t>1</w:t>
      </w:r>
      <w:r w:rsidRPr="000A02E9">
        <w:rPr>
          <w:i/>
        </w:rPr>
        <w:t>10000-</w:t>
      </w:r>
      <w:r w:rsidR="008A5B71">
        <w:rPr>
          <w:i/>
        </w:rPr>
        <w:t>4</w:t>
      </w:r>
      <w:r w:rsidRPr="000A02E9">
        <w:rPr>
          <w:i/>
        </w:rPr>
        <w:t xml:space="preserve"> </w:t>
      </w:r>
      <w:r w:rsidR="001A0BA1">
        <w:rPr>
          <w:i/>
        </w:rPr>
        <w:t>–</w:t>
      </w:r>
      <w:r w:rsidRPr="000A02E9">
        <w:rPr>
          <w:i/>
        </w:rPr>
        <w:t xml:space="preserve"> </w:t>
      </w:r>
      <w:r w:rsidR="001A0BA1">
        <w:rPr>
          <w:i/>
        </w:rPr>
        <w:t xml:space="preserve">(Будівельні </w:t>
      </w:r>
      <w:r w:rsidR="00B037EA">
        <w:rPr>
          <w:i/>
        </w:rPr>
        <w:t>матеріали</w:t>
      </w:r>
      <w:r w:rsidR="001A0BA1">
        <w:rPr>
          <w:i/>
        </w:rPr>
        <w:t>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443F5A9D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037EA">
        <w:rPr>
          <w:i/>
        </w:rPr>
        <w:t>15.11</w:t>
      </w:r>
      <w:r w:rsidR="00075892">
        <w:rPr>
          <w:i/>
        </w:rPr>
        <w:t>.2023 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48532AAB" w:rsidR="0081121E" w:rsidRPr="000A02E9" w:rsidRDefault="00433E99" w:rsidP="000A02E9">
      <w:pPr>
        <w:ind w:firstLine="851"/>
        <w:jc w:val="both"/>
        <w:rPr>
          <w:i/>
        </w:rPr>
      </w:pPr>
      <w:r>
        <w:rPr>
          <w:i/>
        </w:rPr>
        <w:t>4</w:t>
      </w:r>
      <w:r w:rsidR="007E2958">
        <w:rPr>
          <w:i/>
        </w:rPr>
        <w:t>77</w:t>
      </w:r>
      <w:r>
        <w:rPr>
          <w:i/>
        </w:rPr>
        <w:t xml:space="preserve"> </w:t>
      </w:r>
      <w:r w:rsidR="007E2958">
        <w:rPr>
          <w:i/>
        </w:rPr>
        <w:t>57</w:t>
      </w:r>
      <w:r>
        <w:rPr>
          <w:i/>
        </w:rPr>
        <w:t>0</w:t>
      </w:r>
      <w:r w:rsidR="000A02E9" w:rsidRPr="000A02E9">
        <w:rPr>
          <w:i/>
        </w:rPr>
        <w:t xml:space="preserve"> грн. </w:t>
      </w:r>
      <w:r w:rsidR="007E2958">
        <w:rPr>
          <w:i/>
        </w:rPr>
        <w:t>5</w:t>
      </w:r>
      <w:r w:rsidR="000A02E9" w:rsidRPr="000A02E9">
        <w:rPr>
          <w:i/>
        </w:rPr>
        <w:t>0 коп.</w:t>
      </w:r>
      <w:r w:rsidR="000A02E9">
        <w:rPr>
          <w:i/>
        </w:rPr>
        <w:t xml:space="preserve"> (</w:t>
      </w:r>
      <w:r>
        <w:rPr>
          <w:i/>
        </w:rPr>
        <w:t>Чотириста сімдесят</w:t>
      </w:r>
      <w:r w:rsidR="000A02E9">
        <w:rPr>
          <w:i/>
        </w:rPr>
        <w:t xml:space="preserve"> </w:t>
      </w:r>
      <w:r w:rsidR="00DB2DC5">
        <w:rPr>
          <w:i/>
        </w:rPr>
        <w:t xml:space="preserve">сім тисяч п’ятсот сімдесят </w:t>
      </w:r>
      <w:r w:rsidR="000A02E9">
        <w:rPr>
          <w:i/>
        </w:rPr>
        <w:t xml:space="preserve">грн. </w:t>
      </w:r>
      <w:r w:rsidR="00DB2DC5">
        <w:rPr>
          <w:i/>
        </w:rPr>
        <w:t>5</w:t>
      </w:r>
      <w:r w:rsidR="000A02E9">
        <w:rPr>
          <w:i/>
        </w:rPr>
        <w:t>0 коп.)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7F0F44C9" w:rsidR="0081121E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7E2958" w:rsidRPr="007E2958">
        <w:rPr>
          <w:i/>
        </w:rPr>
        <w:t>0</w:t>
      </w:r>
      <w:r w:rsidR="00121F24">
        <w:rPr>
          <w:i/>
        </w:rPr>
        <w:t>8</w:t>
      </w:r>
      <w:r w:rsidRPr="007E2958">
        <w:rPr>
          <w:i/>
        </w:rPr>
        <w:t>.0</w:t>
      </w:r>
      <w:r w:rsidR="007E2958" w:rsidRPr="007E2958">
        <w:rPr>
          <w:i/>
        </w:rPr>
        <w:t>9</w:t>
      </w:r>
      <w:r w:rsidRPr="007E2958">
        <w:rPr>
          <w:i/>
        </w:rPr>
        <w:t>.2023 року</w:t>
      </w:r>
    </w:p>
    <w:p w14:paraId="12B6420D" w14:textId="75109927" w:rsidR="0068570D" w:rsidRDefault="0068570D" w:rsidP="004668CF">
      <w:pPr>
        <w:jc w:val="both"/>
      </w:pPr>
      <w:bookmarkStart w:id="0" w:name="_GoBack"/>
      <w:bookmarkEnd w:id="0"/>
    </w:p>
    <w:p w14:paraId="18D0625C" w14:textId="1ABE9158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lastRenderedPageBreak/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5057D50E" w:rsidR="000A02E9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7E2958" w:rsidRPr="007E2958">
        <w:rPr>
          <w:i/>
        </w:rPr>
        <w:t>1</w:t>
      </w:r>
      <w:r w:rsidR="00121F24">
        <w:rPr>
          <w:i/>
        </w:rPr>
        <w:t>3</w:t>
      </w:r>
      <w:r w:rsidRPr="007E2958">
        <w:rPr>
          <w:i/>
        </w:rPr>
        <w:t>.0</w:t>
      </w:r>
      <w:r w:rsidR="007E2958" w:rsidRPr="007E2958">
        <w:rPr>
          <w:i/>
        </w:rPr>
        <w:t>9</w:t>
      </w:r>
      <w:r w:rsidRPr="007E2958">
        <w:rPr>
          <w:i/>
        </w:rPr>
        <w:t>.2023 року</w:t>
      </w:r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0F171084" w:rsidR="008C6EC0" w:rsidRP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89508B1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6F41B29A" w14:textId="77777777" w:rsidR="008C6EC0" w:rsidRDefault="008C6EC0" w:rsidP="00C476DF">
      <w:pPr>
        <w:ind w:firstLine="851"/>
        <w:jc w:val="both"/>
        <w:rPr>
          <w:i/>
        </w:rPr>
      </w:pP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 xml:space="preserve">До розрахунку ціни </w:t>
      </w:r>
      <w:r w:rsidRPr="00C476DF">
        <w:rPr>
          <w:i/>
        </w:rPr>
        <w:lastRenderedPageBreak/>
        <w:t>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C476DF">
      <w:pPr>
        <w:ind w:firstLine="851"/>
        <w:jc w:val="both"/>
      </w:pP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C476DF">
      <w:pPr>
        <w:ind w:firstLine="851"/>
        <w:jc w:val="both"/>
      </w:pP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C476DF">
      <w:pPr>
        <w:ind w:firstLine="851"/>
        <w:jc w:val="both"/>
      </w:pP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C476DF">
      <w:pPr>
        <w:ind w:firstLine="851"/>
        <w:jc w:val="both"/>
      </w:pP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8265D0">
      <w:pPr>
        <w:ind w:firstLine="851"/>
        <w:jc w:val="both"/>
        <w:rPr>
          <w:i/>
        </w:rPr>
      </w:pP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C476DF">
      <w:pPr>
        <w:ind w:firstLine="851"/>
        <w:jc w:val="both"/>
        <w:rPr>
          <w:i/>
          <w:color w:val="000000"/>
        </w:rPr>
      </w:pPr>
    </w:p>
    <w:p w14:paraId="34F77104" w14:textId="11DE0EA2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</w:t>
      </w:r>
      <w:proofErr w:type="spellStart"/>
      <w:r w:rsidRPr="000B3960">
        <w:rPr>
          <w:i/>
          <w:color w:val="000000"/>
        </w:rPr>
        <w:t>закупівель</w:t>
      </w:r>
      <w:proofErr w:type="spellEnd"/>
      <w:r w:rsidRPr="000B3960">
        <w:rPr>
          <w:i/>
          <w:color w:val="000000"/>
        </w:rPr>
        <w:t xml:space="preserve">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Pr="000B3960">
        <w:rPr>
          <w:i/>
          <w:color w:val="000000"/>
        </w:rPr>
        <w:t>-копії.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>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>пропозиції, якщо такі документи (матеріали та 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 xml:space="preserve">електронного підпису, що базується на </w:t>
      </w:r>
      <w:r w:rsidRPr="000B3960">
        <w:rPr>
          <w:i/>
          <w:color w:val="000000"/>
        </w:rPr>
        <w:lastRenderedPageBreak/>
        <w:t>кваліфікованому 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534D83">
      <w:pPr>
        <w:ind w:firstLine="851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216BFBA1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1DA1935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7F361E">
        <w:rPr>
          <w:color w:val="000000"/>
        </w:rPr>
        <w:t xml:space="preserve">–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</w:p>
    <w:p w14:paraId="2B4A8A2B" w14:textId="77777777" w:rsidR="00F8603F" w:rsidRPr="00F8603F" w:rsidRDefault="00F8603F" w:rsidP="004668CF">
      <w:pPr>
        <w:jc w:val="both"/>
      </w:pPr>
    </w:p>
    <w:p w14:paraId="42542C9F" w14:textId="77777777" w:rsidR="00F8603F" w:rsidRDefault="00F8603F" w:rsidP="00F8603F">
      <w:pPr>
        <w:jc w:val="both"/>
      </w:pPr>
      <w:r>
        <w:t>Уповноважена особа з публічних закупівель</w:t>
      </w:r>
    </w:p>
    <w:p w14:paraId="75FE7EFA" w14:textId="3240B810" w:rsidR="00C45C18" w:rsidRPr="001B4182" w:rsidRDefault="00F8603F" w:rsidP="00F8603F">
      <w:pPr>
        <w:tabs>
          <w:tab w:val="left" w:pos="6804"/>
        </w:tabs>
        <w:jc w:val="both"/>
      </w:pPr>
      <w:r>
        <w:t>військової частини А1890</w:t>
      </w:r>
      <w:r>
        <w:tab/>
        <w:t>Анатолій ЄВДОКИМОВ</w:t>
      </w:r>
      <w:r w:rsidR="00C45C18">
        <w:rPr>
          <w:color w:val="000000"/>
        </w:rPr>
        <w:br w:type="page"/>
      </w:r>
    </w:p>
    <w:p w14:paraId="3F5A324F" w14:textId="77777777" w:rsidR="00766183" w:rsidRPr="00AC65C6" w:rsidRDefault="00766183" w:rsidP="00766183">
      <w:pPr>
        <w:spacing w:line="240" w:lineRule="atLeast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lastRenderedPageBreak/>
        <w:t>Додаток 1</w:t>
      </w:r>
    </w:p>
    <w:p w14:paraId="0248D359" w14:textId="77777777" w:rsidR="00766183" w:rsidRPr="006F64CB" w:rsidRDefault="00766183" w:rsidP="00FB7167">
      <w:pPr>
        <w:pStyle w:val="a6"/>
        <w:ind w:left="0"/>
        <w:jc w:val="center"/>
        <w:rPr>
          <w:bCs/>
          <w:sz w:val="22"/>
          <w:szCs w:val="28"/>
        </w:rPr>
      </w:pPr>
    </w:p>
    <w:p w14:paraId="69DA481E" w14:textId="77777777" w:rsidR="0065200B" w:rsidRDefault="0065200B" w:rsidP="0065200B">
      <w:pPr>
        <w:spacing w:line="230" w:lineRule="auto"/>
        <w:ind w:firstLine="708"/>
        <w:jc w:val="center"/>
        <w:rPr>
          <w:b/>
          <w:sz w:val="32"/>
          <w:szCs w:val="32"/>
        </w:rPr>
      </w:pPr>
      <w:r w:rsidRPr="00FB7167">
        <w:rPr>
          <w:b/>
          <w:sz w:val="32"/>
          <w:szCs w:val="32"/>
        </w:rPr>
        <w:t>Технічні (якісні) вимоги до товару</w:t>
      </w:r>
    </w:p>
    <w:p w14:paraId="760D8A8D" w14:textId="16FCAB8B" w:rsidR="0065200B" w:rsidRPr="00AC311A" w:rsidRDefault="00433E99" w:rsidP="0065200B">
      <w:pPr>
        <w:spacing w:line="230" w:lineRule="auto"/>
        <w:jc w:val="center"/>
        <w:rPr>
          <w:sz w:val="22"/>
          <w:u w:val="single"/>
        </w:rPr>
      </w:pPr>
      <w:bookmarkStart w:id="1" w:name="_Hlk33782938"/>
      <w:r w:rsidRPr="00433E99">
        <w:rPr>
          <w:szCs w:val="32"/>
        </w:rPr>
        <w:t xml:space="preserve">ДК 021:2015 - 44110000-4 - </w:t>
      </w:r>
      <w:r w:rsidR="001A0BA1" w:rsidRPr="001A0BA1">
        <w:rPr>
          <w:szCs w:val="32"/>
        </w:rPr>
        <w:t>(Будівельні матеріали)</w:t>
      </w:r>
    </w:p>
    <w:bookmarkEnd w:id="1"/>
    <w:p w14:paraId="7B3E0DB4" w14:textId="77777777" w:rsidR="004A3E1D" w:rsidRPr="006F64CB" w:rsidRDefault="004A3E1D">
      <w:pPr>
        <w:rPr>
          <w:bCs/>
          <w:iCs/>
          <w:sz w:val="22"/>
        </w:rPr>
      </w:pPr>
    </w:p>
    <w:p w14:paraId="0EF7571E" w14:textId="77777777" w:rsidR="004A3E1D" w:rsidRPr="00905FA1" w:rsidRDefault="004A3E1D" w:rsidP="004A3E1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14:paraId="41D5C030" w14:textId="03F1F271" w:rsidR="004A3E1D" w:rsidRDefault="004A3E1D" w:rsidP="004A3E1D">
      <w:pPr>
        <w:ind w:left="360" w:right="-1"/>
        <w:rPr>
          <w:sz w:val="22"/>
        </w:rPr>
      </w:pPr>
    </w:p>
    <w:p w14:paraId="73EE942B" w14:textId="22B71B87" w:rsidR="00433E99" w:rsidRDefault="00433E99" w:rsidP="004A3E1D">
      <w:pPr>
        <w:ind w:left="360" w:right="-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72"/>
        <w:gridCol w:w="942"/>
        <w:gridCol w:w="1162"/>
      </w:tblGrid>
      <w:tr w:rsidR="00433E99" w14:paraId="1462467B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A5DB" w14:textId="2CDC8EFC" w:rsidR="00433E99" w:rsidRPr="00433E99" w:rsidRDefault="00433E99" w:rsidP="00433E99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8399" w14:textId="7C47973E" w:rsidR="00433E99" w:rsidRPr="00433E99" w:rsidRDefault="00433E99" w:rsidP="00433E99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5188" w14:textId="575034F0" w:rsidR="00433E99" w:rsidRPr="00433E99" w:rsidRDefault="00433E99" w:rsidP="00433E99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BD26" w14:textId="4ED894ED" w:rsidR="00433E99" w:rsidRPr="00433E99" w:rsidRDefault="00433E99" w:rsidP="00433E99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Кількість</w:t>
            </w:r>
          </w:p>
        </w:tc>
      </w:tr>
      <w:tr w:rsidR="00B97346" w14:paraId="179840FA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E11F" w14:textId="0308B71F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Комплект СВП LUX 1,5 мм 250/100 шт.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2DA3" w14:textId="0F3CF113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Комплект СВП LUX 1,5 мм 250/100 шт.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BC15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A64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к-т</w:t>
            </w:r>
          </w:p>
        </w:tc>
      </w:tr>
      <w:tr w:rsidR="00B97346" w14:paraId="5C3741CB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7B5" w14:textId="5EEE7A85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Плитка </w:t>
            </w:r>
            <w:proofErr w:type="spellStart"/>
            <w:r w:rsidRPr="00433E99">
              <w:rPr>
                <w:sz w:val="20"/>
                <w:szCs w:val="20"/>
              </w:rPr>
              <w:t>Huida</w:t>
            </w:r>
            <w:proofErr w:type="spellEnd"/>
            <w:r w:rsidRPr="00433E99">
              <w:rPr>
                <w:sz w:val="20"/>
                <w:szCs w:val="20"/>
              </w:rPr>
              <w:t xml:space="preserve"> PA6600 60x60 (КОД 60125228)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4022" w14:textId="2FF91209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Плитка </w:t>
            </w:r>
            <w:proofErr w:type="spellStart"/>
            <w:r w:rsidRPr="00433E99">
              <w:rPr>
                <w:sz w:val="20"/>
                <w:szCs w:val="20"/>
              </w:rPr>
              <w:t>Huida</w:t>
            </w:r>
            <w:proofErr w:type="spellEnd"/>
            <w:r w:rsidRPr="00433E99">
              <w:rPr>
                <w:sz w:val="20"/>
                <w:szCs w:val="20"/>
              </w:rPr>
              <w:t xml:space="preserve"> PA6600 60x60 (КОД 60125228)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28FA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276,48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C361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м2</w:t>
            </w:r>
          </w:p>
        </w:tc>
      </w:tr>
      <w:tr w:rsidR="00B97346" w14:paraId="79E05508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F59E" w14:textId="76900253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Плитка </w:t>
            </w:r>
            <w:proofErr w:type="spellStart"/>
            <w:r w:rsidRPr="00433E99">
              <w:rPr>
                <w:sz w:val="20"/>
                <w:szCs w:val="20"/>
              </w:rPr>
              <w:t>Allore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Group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Alcora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Grey</w:t>
            </w:r>
            <w:proofErr w:type="spellEnd"/>
            <w:r w:rsidRPr="00433E99">
              <w:rPr>
                <w:sz w:val="20"/>
                <w:szCs w:val="20"/>
              </w:rPr>
              <w:t xml:space="preserve"> F P 60x60 R </w:t>
            </w:r>
            <w:proofErr w:type="spellStart"/>
            <w:r w:rsidRPr="00433E99">
              <w:rPr>
                <w:sz w:val="20"/>
                <w:szCs w:val="20"/>
              </w:rPr>
              <w:t>Satin</w:t>
            </w:r>
            <w:proofErr w:type="spellEnd"/>
            <w:r w:rsidRPr="00433E99">
              <w:rPr>
                <w:sz w:val="20"/>
                <w:szCs w:val="20"/>
              </w:rPr>
              <w:t xml:space="preserve"> 1 (57,6), код 60131255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8551" w14:textId="0135BC9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Плитка </w:t>
            </w:r>
            <w:proofErr w:type="spellStart"/>
            <w:r w:rsidRPr="00433E99">
              <w:rPr>
                <w:sz w:val="20"/>
                <w:szCs w:val="20"/>
              </w:rPr>
              <w:t>Allore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Group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Alcora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Grey</w:t>
            </w:r>
            <w:proofErr w:type="spellEnd"/>
            <w:r w:rsidRPr="00433E99">
              <w:rPr>
                <w:sz w:val="20"/>
                <w:szCs w:val="20"/>
              </w:rPr>
              <w:t xml:space="preserve"> F P 60x60 R </w:t>
            </w:r>
            <w:proofErr w:type="spellStart"/>
            <w:r w:rsidRPr="00433E99">
              <w:rPr>
                <w:sz w:val="20"/>
                <w:szCs w:val="20"/>
              </w:rPr>
              <w:t>Satin</w:t>
            </w:r>
            <w:proofErr w:type="spellEnd"/>
            <w:r w:rsidRPr="00433E99">
              <w:rPr>
                <w:sz w:val="20"/>
                <w:szCs w:val="20"/>
              </w:rPr>
              <w:t xml:space="preserve"> 1 (57,6), код 60131255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42E0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33,12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C08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м2</w:t>
            </w:r>
          </w:p>
        </w:tc>
      </w:tr>
      <w:tr w:rsidR="00B97346" w14:paraId="43AD960F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03ED" w14:textId="1C8464D9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Плитка </w:t>
            </w:r>
            <w:proofErr w:type="spellStart"/>
            <w:r w:rsidRPr="00433E99">
              <w:rPr>
                <w:sz w:val="20"/>
                <w:szCs w:val="20"/>
              </w:rPr>
              <w:t>Allore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Group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Statuario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White</w:t>
            </w:r>
            <w:proofErr w:type="spellEnd"/>
            <w:r w:rsidRPr="00433E99">
              <w:rPr>
                <w:sz w:val="20"/>
                <w:szCs w:val="20"/>
              </w:rPr>
              <w:t xml:space="preserve"> F P NR </w:t>
            </w:r>
            <w:proofErr w:type="spellStart"/>
            <w:r w:rsidRPr="00433E99">
              <w:rPr>
                <w:sz w:val="20"/>
                <w:szCs w:val="20"/>
              </w:rPr>
              <w:t>Satin</w:t>
            </w:r>
            <w:proofErr w:type="spellEnd"/>
            <w:r w:rsidRPr="00433E99">
              <w:rPr>
                <w:sz w:val="20"/>
                <w:szCs w:val="20"/>
              </w:rPr>
              <w:t xml:space="preserve"> 31x61, код 60128327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63DA" w14:textId="05908DC1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Плитка </w:t>
            </w:r>
            <w:proofErr w:type="spellStart"/>
            <w:r w:rsidRPr="00433E99">
              <w:rPr>
                <w:sz w:val="20"/>
                <w:szCs w:val="20"/>
              </w:rPr>
              <w:t>Allore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Group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Statuario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White</w:t>
            </w:r>
            <w:proofErr w:type="spellEnd"/>
            <w:r w:rsidRPr="00433E99">
              <w:rPr>
                <w:sz w:val="20"/>
                <w:szCs w:val="20"/>
              </w:rPr>
              <w:t xml:space="preserve"> F P NR </w:t>
            </w:r>
            <w:proofErr w:type="spellStart"/>
            <w:r w:rsidRPr="00433E99">
              <w:rPr>
                <w:sz w:val="20"/>
                <w:szCs w:val="20"/>
              </w:rPr>
              <w:t>Satin</w:t>
            </w:r>
            <w:proofErr w:type="spellEnd"/>
            <w:r w:rsidRPr="00433E99">
              <w:rPr>
                <w:sz w:val="20"/>
                <w:szCs w:val="20"/>
              </w:rPr>
              <w:t xml:space="preserve"> 31x61, код 60128327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8A58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176,80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3E3D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м2</w:t>
            </w:r>
          </w:p>
        </w:tc>
      </w:tr>
      <w:tr w:rsidR="00B97346" w14:paraId="2EC0F93D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680" w14:textId="70FB0915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Ламінат </w:t>
            </w:r>
            <w:proofErr w:type="spellStart"/>
            <w:r w:rsidRPr="00433E99">
              <w:rPr>
                <w:sz w:val="20"/>
                <w:szCs w:val="20"/>
              </w:rPr>
              <w:t>Classen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Casa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Normann</w:t>
            </w:r>
            <w:proofErr w:type="spellEnd"/>
            <w:r w:rsidRPr="00433E99">
              <w:rPr>
                <w:sz w:val="20"/>
                <w:szCs w:val="20"/>
              </w:rPr>
              <w:t xml:space="preserve"> 4V дуб </w:t>
            </w:r>
            <w:proofErr w:type="spellStart"/>
            <w:r w:rsidRPr="00433E99">
              <w:rPr>
                <w:sz w:val="20"/>
                <w:szCs w:val="20"/>
              </w:rPr>
              <w:t>річмонд</w:t>
            </w:r>
            <w:proofErr w:type="spellEnd"/>
            <w:r w:rsidRPr="00433E99">
              <w:rPr>
                <w:sz w:val="20"/>
                <w:szCs w:val="20"/>
              </w:rPr>
              <w:t xml:space="preserve"> 33/АС5 8 мм (54740)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E086" w14:textId="159ACEA1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Ламінат </w:t>
            </w:r>
            <w:proofErr w:type="spellStart"/>
            <w:r w:rsidRPr="00433E99">
              <w:rPr>
                <w:sz w:val="20"/>
                <w:szCs w:val="20"/>
              </w:rPr>
              <w:t>Classen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Casa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Normann</w:t>
            </w:r>
            <w:proofErr w:type="spellEnd"/>
            <w:r w:rsidRPr="00433E99">
              <w:rPr>
                <w:sz w:val="20"/>
                <w:szCs w:val="20"/>
              </w:rPr>
              <w:t xml:space="preserve"> 4V дуб </w:t>
            </w:r>
            <w:proofErr w:type="spellStart"/>
            <w:r w:rsidRPr="00433E99">
              <w:rPr>
                <w:sz w:val="20"/>
                <w:szCs w:val="20"/>
              </w:rPr>
              <w:t>річмонд</w:t>
            </w:r>
            <w:proofErr w:type="spellEnd"/>
            <w:r w:rsidRPr="00433E99">
              <w:rPr>
                <w:sz w:val="20"/>
                <w:szCs w:val="20"/>
              </w:rPr>
              <w:t xml:space="preserve"> 33/АС5 8 мм (54740)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509E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925D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м2</w:t>
            </w:r>
          </w:p>
        </w:tc>
      </w:tr>
      <w:tr w:rsidR="00B97346" w14:paraId="37316A88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71F3" w14:textId="1361CBEE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Лінолеум </w:t>
            </w:r>
            <w:proofErr w:type="spellStart"/>
            <w:r w:rsidRPr="00433E99">
              <w:rPr>
                <w:sz w:val="20"/>
                <w:szCs w:val="20"/>
              </w:rPr>
              <w:t>Grabo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Diamond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Standart</w:t>
            </w:r>
            <w:proofErr w:type="spellEnd"/>
            <w:r w:rsidRPr="00433E99">
              <w:rPr>
                <w:sz w:val="20"/>
                <w:szCs w:val="20"/>
              </w:rPr>
              <w:t xml:space="preserve"> Premium </w:t>
            </w:r>
            <w:proofErr w:type="spellStart"/>
            <w:r w:rsidRPr="00433E99">
              <w:rPr>
                <w:sz w:val="20"/>
                <w:szCs w:val="20"/>
              </w:rPr>
              <w:t>plus</w:t>
            </w:r>
            <w:proofErr w:type="spellEnd"/>
            <w:r w:rsidRPr="00433E99">
              <w:rPr>
                <w:sz w:val="20"/>
                <w:szCs w:val="20"/>
              </w:rPr>
              <w:t xml:space="preserve"> 4576-469-4 крихта 4 м Сірий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5A7C" w14:textId="6EF5A739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Лінолеум </w:t>
            </w:r>
            <w:proofErr w:type="spellStart"/>
            <w:r w:rsidRPr="00433E99">
              <w:rPr>
                <w:sz w:val="20"/>
                <w:szCs w:val="20"/>
              </w:rPr>
              <w:t>Grabo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Diamond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Standart</w:t>
            </w:r>
            <w:proofErr w:type="spellEnd"/>
            <w:r w:rsidRPr="00433E99">
              <w:rPr>
                <w:sz w:val="20"/>
                <w:szCs w:val="20"/>
              </w:rPr>
              <w:t xml:space="preserve"> Premium </w:t>
            </w:r>
            <w:proofErr w:type="spellStart"/>
            <w:r w:rsidRPr="00433E99">
              <w:rPr>
                <w:sz w:val="20"/>
                <w:szCs w:val="20"/>
              </w:rPr>
              <w:t>plus</w:t>
            </w:r>
            <w:proofErr w:type="spellEnd"/>
            <w:r w:rsidRPr="00433E99">
              <w:rPr>
                <w:sz w:val="20"/>
                <w:szCs w:val="20"/>
              </w:rPr>
              <w:t xml:space="preserve"> 4576-469-4 крихта 4 м Сірий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0D68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262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17C3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м2</w:t>
            </w:r>
          </w:p>
        </w:tc>
      </w:tr>
      <w:tr w:rsidR="00B97346" w14:paraId="0A6DB6EA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C350" w14:textId="0ABC0367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Плінтус ПВХ SAN DECOR </w:t>
            </w:r>
            <w:proofErr w:type="spellStart"/>
            <w:r w:rsidRPr="00433E99">
              <w:rPr>
                <w:sz w:val="20"/>
                <w:szCs w:val="20"/>
              </w:rPr>
              <w:t>San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DEcor</w:t>
            </w:r>
            <w:proofErr w:type="spellEnd"/>
            <w:r w:rsidRPr="00433E99">
              <w:rPr>
                <w:sz w:val="20"/>
                <w:szCs w:val="20"/>
              </w:rPr>
              <w:t xml:space="preserve"> 121 ясен світлий 21х56х2500 мм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C115" w14:textId="611D2122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Плінтус ПВХ SAN DECOR </w:t>
            </w:r>
            <w:proofErr w:type="spellStart"/>
            <w:r w:rsidRPr="00433E99">
              <w:rPr>
                <w:sz w:val="20"/>
                <w:szCs w:val="20"/>
              </w:rPr>
              <w:t>San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DEcor</w:t>
            </w:r>
            <w:proofErr w:type="spellEnd"/>
            <w:r w:rsidRPr="00433E99">
              <w:rPr>
                <w:sz w:val="20"/>
                <w:szCs w:val="20"/>
              </w:rPr>
              <w:t xml:space="preserve"> 121 ясен світлий 21х56х2500 мм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2790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133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6620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шт.</w:t>
            </w:r>
          </w:p>
        </w:tc>
      </w:tr>
      <w:tr w:rsidR="00B97346" w14:paraId="48F883DE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E7F4" w14:textId="1D1497AA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Комплект заглушок SAN DECOR 121 ясен світлий (упаковка 2 шт.)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5748" w14:textId="358D0944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Комплект заглушок SAN DECOR 121 ясен світлий (упаковка 2 шт.)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E40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66D3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комплект </w:t>
            </w:r>
          </w:p>
        </w:tc>
      </w:tr>
      <w:tr w:rsidR="00B97346" w14:paraId="7195A623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5FA" w14:textId="55A94790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Комплект куточків внутрішніх SAN DECOR 121 ясен світлий (упаковка 2 шт.)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B1A1" w14:textId="7EA94F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Комплект куточків внутрішніх SAN DECOR 121 ясен світлий (упаковка 2 шт.)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54F7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71E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комплект </w:t>
            </w:r>
          </w:p>
        </w:tc>
      </w:tr>
      <w:tr w:rsidR="00B97346" w14:paraId="55BA0B23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E6B" w14:textId="45F1CDB6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Комплект з'єднувачів SAN DECOR 121 ясен світлий (упаковка 2 шт.)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6288" w14:textId="405A794C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Комплект з'єднувачів SAN DECOR 121 ясен світлий (упаковка 2 шт.)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D612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222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комплект </w:t>
            </w:r>
          </w:p>
        </w:tc>
      </w:tr>
      <w:tr w:rsidR="00B97346" w14:paraId="0B3A6A9A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100F" w14:textId="5188CA0B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Підкладка під ламінат </w:t>
            </w:r>
            <w:proofErr w:type="spellStart"/>
            <w:r w:rsidRPr="00433E99">
              <w:rPr>
                <w:sz w:val="20"/>
                <w:szCs w:val="20"/>
              </w:rPr>
              <w:t>Санторг</w:t>
            </w:r>
            <w:proofErr w:type="spellEnd"/>
            <w:r w:rsidRPr="00433E99">
              <w:rPr>
                <w:sz w:val="20"/>
                <w:szCs w:val="20"/>
              </w:rPr>
              <w:t xml:space="preserve"> 100 см 3 мм під ламінат 3 мм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0130" w14:textId="69EC3631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Підкладка під ламінат </w:t>
            </w:r>
            <w:proofErr w:type="spellStart"/>
            <w:r w:rsidRPr="00433E99">
              <w:rPr>
                <w:sz w:val="20"/>
                <w:szCs w:val="20"/>
              </w:rPr>
              <w:t>Санторг</w:t>
            </w:r>
            <w:proofErr w:type="spellEnd"/>
            <w:r w:rsidRPr="00433E99">
              <w:rPr>
                <w:sz w:val="20"/>
                <w:szCs w:val="20"/>
              </w:rPr>
              <w:t xml:space="preserve"> 100 см 3 мм під ламінат 3 мм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844E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4D2C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м2</w:t>
            </w:r>
          </w:p>
        </w:tc>
      </w:tr>
      <w:tr w:rsidR="00B97346" w14:paraId="7E1B059F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52B6" w14:textId="4EEA73DE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</w:t>
            </w:r>
            <w:proofErr w:type="spellStart"/>
            <w:r w:rsidRPr="00433E99">
              <w:rPr>
                <w:sz w:val="20"/>
                <w:szCs w:val="20"/>
              </w:rPr>
              <w:t>BauGut</w:t>
            </w:r>
            <w:proofErr w:type="spellEnd"/>
            <w:r w:rsidRPr="00433E99">
              <w:rPr>
                <w:sz w:val="20"/>
                <w:szCs w:val="20"/>
              </w:rPr>
              <w:t xml:space="preserve"> PRO 65 л, всесезонна, 860 мл.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5DF" w14:textId="25E7F0FC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</w:t>
            </w:r>
            <w:proofErr w:type="spellStart"/>
            <w:r w:rsidRPr="00433E99">
              <w:rPr>
                <w:sz w:val="20"/>
                <w:szCs w:val="20"/>
              </w:rPr>
              <w:t>BauGut</w:t>
            </w:r>
            <w:proofErr w:type="spellEnd"/>
            <w:r w:rsidRPr="00433E99">
              <w:rPr>
                <w:sz w:val="20"/>
                <w:szCs w:val="20"/>
              </w:rPr>
              <w:t xml:space="preserve"> PRO 65 л, всесезонна, 860 мл.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391E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E3DA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шт. </w:t>
            </w:r>
          </w:p>
        </w:tc>
      </w:tr>
      <w:tr w:rsidR="00B97346" w14:paraId="2C8C63A9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A663" w14:textId="30943873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для пістолету </w:t>
            </w:r>
            <w:proofErr w:type="spellStart"/>
            <w:r w:rsidRPr="00433E99">
              <w:rPr>
                <w:sz w:val="20"/>
                <w:szCs w:val="20"/>
              </w:rPr>
              <w:t>Mega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Profi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Foam</w:t>
            </w:r>
            <w:proofErr w:type="spellEnd"/>
            <w:r w:rsidRPr="00433E99">
              <w:rPr>
                <w:sz w:val="20"/>
                <w:szCs w:val="20"/>
              </w:rPr>
              <w:t xml:space="preserve">, 750 мл, 50л </w:t>
            </w:r>
            <w:proofErr w:type="spellStart"/>
            <w:r w:rsidRPr="00433E99">
              <w:rPr>
                <w:sz w:val="20"/>
                <w:szCs w:val="20"/>
              </w:rPr>
              <w:t>Getfix</w:t>
            </w:r>
            <w:proofErr w:type="spellEnd"/>
            <w:r w:rsidRPr="00433E99">
              <w:rPr>
                <w:sz w:val="20"/>
                <w:szCs w:val="20"/>
              </w:rPr>
              <w:t xml:space="preserve"> | 12-471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0719" w14:textId="4E14BEB3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для пістолету </w:t>
            </w:r>
            <w:proofErr w:type="spellStart"/>
            <w:r w:rsidRPr="00433E99">
              <w:rPr>
                <w:sz w:val="20"/>
                <w:szCs w:val="20"/>
              </w:rPr>
              <w:t>Mega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Profi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Foam</w:t>
            </w:r>
            <w:proofErr w:type="spellEnd"/>
            <w:r w:rsidRPr="00433E99">
              <w:rPr>
                <w:sz w:val="20"/>
                <w:szCs w:val="20"/>
              </w:rPr>
              <w:t xml:space="preserve">, 750 мл, 50л </w:t>
            </w:r>
            <w:proofErr w:type="spellStart"/>
            <w:r w:rsidRPr="00433E99">
              <w:rPr>
                <w:sz w:val="20"/>
                <w:szCs w:val="20"/>
              </w:rPr>
              <w:t>Getfix</w:t>
            </w:r>
            <w:proofErr w:type="spellEnd"/>
            <w:r w:rsidRPr="00433E99">
              <w:rPr>
                <w:sz w:val="20"/>
                <w:szCs w:val="20"/>
              </w:rPr>
              <w:t xml:space="preserve"> | 12-471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098C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13ED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шт.</w:t>
            </w:r>
          </w:p>
        </w:tc>
      </w:tr>
      <w:tr w:rsidR="00B97346" w14:paraId="63600633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07EA" w14:textId="44588A0C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для пістолету </w:t>
            </w:r>
            <w:proofErr w:type="spellStart"/>
            <w:r w:rsidRPr="00433E99">
              <w:rPr>
                <w:sz w:val="20"/>
                <w:szCs w:val="20"/>
              </w:rPr>
              <w:t>Mega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Profi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Winter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Foam</w:t>
            </w:r>
            <w:proofErr w:type="spellEnd"/>
            <w:r w:rsidRPr="00433E99">
              <w:rPr>
                <w:sz w:val="20"/>
                <w:szCs w:val="20"/>
              </w:rPr>
              <w:t xml:space="preserve">, 850 мл, 65л </w:t>
            </w:r>
            <w:proofErr w:type="spellStart"/>
            <w:r w:rsidRPr="00433E99">
              <w:rPr>
                <w:sz w:val="20"/>
                <w:szCs w:val="20"/>
              </w:rPr>
              <w:t>Getfix</w:t>
            </w:r>
            <w:proofErr w:type="spellEnd"/>
            <w:r w:rsidRPr="00433E99">
              <w:rPr>
                <w:sz w:val="20"/>
                <w:szCs w:val="20"/>
              </w:rPr>
              <w:t xml:space="preserve"> | 12-474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545B" w14:textId="0CE4B9FD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для пістолету </w:t>
            </w:r>
            <w:proofErr w:type="spellStart"/>
            <w:r w:rsidRPr="00433E99">
              <w:rPr>
                <w:sz w:val="20"/>
                <w:szCs w:val="20"/>
              </w:rPr>
              <w:t>Mega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Profi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Winter</w:t>
            </w:r>
            <w:proofErr w:type="spellEnd"/>
            <w:r w:rsidRPr="00433E99">
              <w:rPr>
                <w:sz w:val="20"/>
                <w:szCs w:val="20"/>
              </w:rPr>
              <w:t xml:space="preserve"> </w:t>
            </w:r>
            <w:proofErr w:type="spellStart"/>
            <w:r w:rsidRPr="00433E99">
              <w:rPr>
                <w:sz w:val="20"/>
                <w:szCs w:val="20"/>
              </w:rPr>
              <w:t>Foam</w:t>
            </w:r>
            <w:proofErr w:type="spellEnd"/>
            <w:r w:rsidRPr="00433E99">
              <w:rPr>
                <w:sz w:val="20"/>
                <w:szCs w:val="20"/>
              </w:rPr>
              <w:t xml:space="preserve">, 850 мл, 65л </w:t>
            </w:r>
            <w:proofErr w:type="spellStart"/>
            <w:r w:rsidRPr="00433E99">
              <w:rPr>
                <w:sz w:val="20"/>
                <w:szCs w:val="20"/>
              </w:rPr>
              <w:t>Getfix</w:t>
            </w:r>
            <w:proofErr w:type="spellEnd"/>
            <w:r w:rsidRPr="00433E99">
              <w:rPr>
                <w:sz w:val="20"/>
                <w:szCs w:val="20"/>
              </w:rPr>
              <w:t xml:space="preserve"> | 12-474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F151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6421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шт.</w:t>
            </w:r>
          </w:p>
        </w:tc>
      </w:tr>
      <w:tr w:rsidR="00B97346" w14:paraId="207A2429" w14:textId="77777777" w:rsidTr="00575E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5EA" w14:textId="18FB4381" w:rsidR="00B97346" w:rsidRPr="00433E99" w:rsidRDefault="00B97346" w:rsidP="00B97346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для пістолету PRO </w:t>
            </w:r>
            <w:proofErr w:type="spellStart"/>
            <w:r w:rsidRPr="00433E99">
              <w:rPr>
                <w:sz w:val="20"/>
                <w:szCs w:val="20"/>
              </w:rPr>
              <w:t>Sikabo</w:t>
            </w:r>
            <w:proofErr w:type="spellEnd"/>
            <w:r w:rsidRPr="00433E99">
              <w:rPr>
                <w:sz w:val="20"/>
                <w:szCs w:val="20"/>
              </w:rPr>
              <w:t>/906015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97B8" w14:textId="3DBFD409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 xml:space="preserve">Піна монтажна для пістолету PRO </w:t>
            </w:r>
            <w:proofErr w:type="spellStart"/>
            <w:r w:rsidRPr="00433E99">
              <w:rPr>
                <w:sz w:val="20"/>
                <w:szCs w:val="20"/>
              </w:rPr>
              <w:t>Sikabo</w:t>
            </w:r>
            <w:proofErr w:type="spellEnd"/>
            <w:r w:rsidRPr="00433E99">
              <w:rPr>
                <w:sz w:val="20"/>
                <w:szCs w:val="20"/>
              </w:rPr>
              <w:t>/906015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5579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BE73" w14:textId="77777777" w:rsidR="00B97346" w:rsidRPr="00433E99" w:rsidRDefault="00B97346" w:rsidP="00B97346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433E99">
              <w:rPr>
                <w:sz w:val="20"/>
                <w:szCs w:val="20"/>
              </w:rPr>
              <w:t>шт.</w:t>
            </w:r>
          </w:p>
        </w:tc>
      </w:tr>
    </w:tbl>
    <w:p w14:paraId="5365FB4E" w14:textId="77777777" w:rsidR="004A3E1D" w:rsidRPr="00905FA1" w:rsidRDefault="004A3E1D" w:rsidP="004A3E1D">
      <w:pPr>
        <w:ind w:left="360"/>
        <w:jc w:val="both"/>
        <w:rPr>
          <w:b/>
        </w:rPr>
      </w:pPr>
    </w:p>
    <w:p w14:paraId="0A66C278" w14:textId="77777777" w:rsidR="004A3E1D" w:rsidRPr="00905FA1" w:rsidRDefault="004A3E1D" w:rsidP="004A3E1D">
      <w:pPr>
        <w:ind w:right="-1" w:firstLine="540"/>
        <w:jc w:val="both"/>
      </w:pPr>
      <w:r w:rsidRPr="00905FA1">
        <w:t xml:space="preserve">Предмет закупівлі </w:t>
      </w:r>
      <w:r w:rsidRPr="00905FA1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14:paraId="233F34FC" w14:textId="1280A76A" w:rsidR="004A3E1D" w:rsidRPr="00905FA1" w:rsidRDefault="004A3E1D" w:rsidP="004A3E1D">
      <w:pPr>
        <w:ind w:firstLine="567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F47625">
        <w:t xml:space="preserve"> України для резидента України)</w:t>
      </w:r>
    </w:p>
    <w:p w14:paraId="46DDD609" w14:textId="476903D7" w:rsidR="009C044C" w:rsidRDefault="009C044C" w:rsidP="004A3E1D"/>
    <w:p w14:paraId="22C53084" w14:textId="16AD6AD1" w:rsidR="009C044C" w:rsidRPr="00CB5539" w:rsidRDefault="009C044C" w:rsidP="009C044C">
      <w:pPr>
        <w:ind w:firstLine="567"/>
        <w:jc w:val="both"/>
      </w:pPr>
      <w:r w:rsidRPr="00EF12A0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14:paraId="64EE9F24" w14:textId="6092CFE2" w:rsidR="000702E9" w:rsidRDefault="000702E9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lastRenderedPageBreak/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25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00B48330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037EA" w:rsidRPr="00B037EA">
        <w:rPr>
          <w:i/>
        </w:rPr>
        <w:t xml:space="preserve">ДК 021:2015 - 44110000-4 - </w:t>
      </w:r>
      <w:r w:rsidR="001A0BA1" w:rsidRPr="001A0BA1">
        <w:rPr>
          <w:i/>
        </w:rPr>
        <w:t>(Будівельні матеріали)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77777777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2BE94EB4" w14:textId="410AB665" w:rsidR="00EC2FA7" w:rsidRDefault="007F361E" w:rsidP="00300140">
      <w:pPr>
        <w:spacing w:line="230" w:lineRule="auto"/>
        <w:jc w:val="right"/>
      </w:pPr>
      <w:r w:rsidRPr="005F54A7">
        <w:rPr>
          <w:i/>
        </w:rPr>
        <w:br w:type="page"/>
      </w:r>
    </w:p>
    <w:p w14:paraId="245D9FF2" w14:textId="77777777"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lastRenderedPageBreak/>
        <w:t xml:space="preserve">Додаток № </w:t>
      </w:r>
      <w:r>
        <w:rPr>
          <w:b/>
        </w:rPr>
        <w:t>3</w:t>
      </w:r>
    </w:p>
    <w:p w14:paraId="36CDCD0C" w14:textId="77777777"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14:paraId="10401FCD" w14:textId="77777777"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14:paraId="0710B82B" w14:textId="77777777"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____.____.2023</w:t>
      </w:r>
    </w:p>
    <w:p w14:paraId="2776020B" w14:textId="77777777"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14:paraId="75393137" w14:textId="77777777" w:rsidR="004D61D4" w:rsidRPr="00E02997" w:rsidRDefault="004D61D4" w:rsidP="004D61D4">
      <w:pPr>
        <w:tabs>
          <w:tab w:val="left" w:pos="9214"/>
        </w:tabs>
        <w:spacing w:line="228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14:paraId="2E22074A" w14:textId="77777777" w:rsidR="004D61D4" w:rsidRPr="00184EC8" w:rsidRDefault="004D61D4" w:rsidP="004D61D4">
      <w:pPr>
        <w:tabs>
          <w:tab w:val="left" w:pos="9214"/>
        </w:tabs>
        <w:spacing w:line="228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14:paraId="6A7E628B" w14:textId="77777777" w:rsidR="004D61D4" w:rsidRPr="00E02997" w:rsidRDefault="004D61D4" w:rsidP="004D61D4">
      <w:pPr>
        <w:spacing w:line="228" w:lineRule="auto"/>
        <w:jc w:val="center"/>
      </w:pPr>
      <w:r w:rsidRPr="00E02997">
        <w:rPr>
          <w:b/>
          <w:bCs/>
        </w:rPr>
        <w:t>1. ПРЕДМЕТ ДОГОВОРУ</w:t>
      </w:r>
    </w:p>
    <w:p w14:paraId="0D976556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2023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14:paraId="04174ADE" w14:textId="77777777" w:rsidR="004D61D4" w:rsidRPr="00E02997" w:rsidRDefault="004D61D4" w:rsidP="004D61D4">
      <w:pPr>
        <w:tabs>
          <w:tab w:val="left" w:pos="426"/>
          <w:tab w:val="left" w:pos="9214"/>
          <w:tab w:val="left" w:pos="9639"/>
        </w:tabs>
        <w:spacing w:line="228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14:paraId="0C9FEA16" w14:textId="77777777" w:rsidR="004D61D4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Pr="00B037EA">
        <w:t>44110000-4</w:t>
      </w:r>
      <w:r>
        <w:t>.</w:t>
      </w:r>
    </w:p>
    <w:p w14:paraId="6DE413BF" w14:textId="77777777" w:rsidR="004D61D4" w:rsidRPr="00A3500F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14:paraId="61D68AB5" w14:textId="77777777" w:rsidR="004D61D4" w:rsidRPr="00E02997" w:rsidRDefault="004D61D4" w:rsidP="004D61D4">
      <w:pPr>
        <w:tabs>
          <w:tab w:val="left" w:pos="426"/>
        </w:tabs>
        <w:spacing w:line="228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14:paraId="7E943990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14:paraId="1771342A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14:paraId="6CEAE3A1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14:paraId="0A2B966C" w14:textId="77777777" w:rsidR="004D61D4" w:rsidRPr="00E02997" w:rsidRDefault="004D61D4" w:rsidP="004D61D4">
      <w:pPr>
        <w:tabs>
          <w:tab w:val="left" w:pos="567"/>
        </w:tabs>
        <w:spacing w:line="228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14:paraId="4536555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3.1.</w:t>
      </w:r>
      <w:r w:rsidRPr="00E02997">
        <w:rPr>
          <w:color w:val="000000"/>
          <w:lang w:eastAsia="ru-RU"/>
        </w:rPr>
        <w:tab/>
      </w:r>
      <w:r w:rsidRPr="00E44015">
        <w:rPr>
          <w:color w:val="000000"/>
          <w:lang w:eastAsia="ru-RU"/>
        </w:rPr>
        <w:t xml:space="preserve">Ціна Договору (загальна вартість товару) є твердою та за складовими визначеними у Специфікації становить </w:t>
      </w:r>
      <w:r>
        <w:rPr>
          <w:color w:val="000000"/>
          <w:lang w:eastAsia="ru-RU"/>
        </w:rPr>
        <w:t>________</w:t>
      </w:r>
      <w:r w:rsidRPr="00E44015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_________</w:t>
      </w:r>
      <w:r w:rsidRPr="00E44015">
        <w:rPr>
          <w:color w:val="000000"/>
          <w:lang w:eastAsia="ru-RU"/>
        </w:rPr>
        <w:t>)</w:t>
      </w:r>
      <w:r>
        <w:rPr>
          <w:bCs/>
          <w:color w:val="000000"/>
          <w:lang w:eastAsia="ru-RU"/>
        </w:rPr>
        <w:t>, у тому числі ПДВ _________ (________).</w:t>
      </w:r>
    </w:p>
    <w:p w14:paraId="50740B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0EE7FA6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14:paraId="747DB05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14:paraId="14E29D3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  <w:t>Покупець здійснює оплату товару на умовах післяплати та безготівкового розрахунку протягом 2023 року. Фінансування здійснюється з Державного бюджету 2023 року.</w:t>
      </w:r>
    </w:p>
    <w:p w14:paraId="54B56BC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bookmarkStart w:id="2" w:name="_Hlk94364342"/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bookmarkEnd w:id="2"/>
    <w:p w14:paraId="4EF52269" w14:textId="23825FB1" w:rsidR="004D61D4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14:paraId="56713AE7" w14:textId="77777777" w:rsidR="004D61D4" w:rsidRPr="00E02997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3" w:lineRule="auto"/>
        <w:jc w:val="both"/>
      </w:pPr>
      <w:r w:rsidRPr="00E02997">
        <w:rPr>
          <w:b/>
          <w:color w:val="000000"/>
          <w:lang w:eastAsia="ru-RU"/>
        </w:rPr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14:paraId="2D3603EA" w14:textId="77777777" w:rsidR="004D61D4" w:rsidRPr="00695DCF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sz w:val="16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CB54EA0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0C4105D2" w14:textId="77777777" w:rsidR="004D61D4" w:rsidRPr="00E02997" w:rsidRDefault="004D61D4" w:rsidP="00592ED7">
            <w:pPr>
              <w:pStyle w:val="af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35890CA7" w14:textId="77777777" w:rsidR="004D61D4" w:rsidRPr="00E02997" w:rsidRDefault="004D61D4" w:rsidP="00592ED7">
            <w:pPr>
              <w:tabs>
                <w:tab w:val="left" w:pos="2734"/>
              </w:tabs>
              <w:spacing w:line="235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65B72175" w14:textId="77777777" w:rsidR="004D61D4" w:rsidRPr="00E02997" w:rsidRDefault="004D61D4" w:rsidP="00592ED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D8B6796" w14:textId="77777777" w:rsidR="004D61D4" w:rsidRPr="00E02997" w:rsidRDefault="004D61D4" w:rsidP="00592ED7">
            <w:pPr>
              <w:spacing w:line="235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2811B66B" w14:textId="77777777" w:rsidR="004D61D4" w:rsidRPr="008265D0" w:rsidRDefault="004D61D4" w:rsidP="00592ED7">
            <w:pPr>
              <w:tabs>
                <w:tab w:val="left" w:pos="4569"/>
              </w:tabs>
              <w:spacing w:line="235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14:paraId="4A8FE0F1" w14:textId="77777777" w:rsidR="004D61D4" w:rsidRPr="00E02997" w:rsidRDefault="004D61D4" w:rsidP="00592ED7">
            <w:pPr>
              <w:spacing w:line="235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778968D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</w:rPr>
        <w:lastRenderedPageBreak/>
        <w:t>4. ПОРЯДОК ТА СТРОКИ ПЕРЕДАЧІ ТОВАРУ</w:t>
      </w:r>
    </w:p>
    <w:p w14:paraId="6D87753D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Pr="00A3500F">
        <w:rPr>
          <w:bCs/>
          <w:lang w:val="ru-RU"/>
        </w:rPr>
        <w:t>15</w:t>
      </w:r>
      <w:r w:rsidRPr="00A3500F">
        <w:rPr>
          <w:bCs/>
        </w:rPr>
        <w:t>.</w:t>
      </w:r>
      <w:r w:rsidRPr="00A3500F">
        <w:rPr>
          <w:bCs/>
          <w:lang w:val="ru-RU"/>
        </w:rPr>
        <w:t>11</w:t>
      </w:r>
      <w:r w:rsidRPr="00A3500F">
        <w:rPr>
          <w:bCs/>
        </w:rPr>
        <w:t>.2023 року.</w:t>
      </w:r>
    </w:p>
    <w:p w14:paraId="00A9987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14:paraId="054B48C8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14:paraId="3433C69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14:paraId="4155B0EE" w14:textId="77777777" w:rsidR="004D61D4" w:rsidRPr="00E02997" w:rsidRDefault="004D61D4" w:rsidP="004D61D4">
      <w:pPr>
        <w:tabs>
          <w:tab w:val="left" w:pos="567"/>
          <w:tab w:val="left" w:pos="9781"/>
        </w:tabs>
        <w:spacing w:line="226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14:paraId="0F71658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14:paraId="0C4FC927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14:paraId="6BE494FD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14:paraId="3B34941D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14:paraId="6B22ED15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14:paraId="35EE229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14:paraId="0BB193F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14:paraId="3685F21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14:paraId="4BA49519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14:paraId="03F8C3E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14:paraId="797FB33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14:paraId="330AC6A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14:paraId="3F72E854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14:paraId="3647B030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14:paraId="773EFAD3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14:paraId="4629653E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14:paraId="3D1DC747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14:paraId="3A72BAC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зазначеними в Розділі 3 Договору. </w:t>
      </w:r>
    </w:p>
    <w:p w14:paraId="5E73F872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14:paraId="220F284C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1FE9B7D4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A89C141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1C7A5B1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732C5149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637637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15F0A9EC" w14:textId="77777777" w:rsidR="004D61D4" w:rsidRPr="008265D0" w:rsidRDefault="004D61D4" w:rsidP="00592ED7">
            <w:pPr>
              <w:spacing w:line="226" w:lineRule="auto"/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14:paraId="4CB391B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643E092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  <w:highlight w:val="yellow"/>
        </w:rPr>
        <w:br w:type="page"/>
      </w:r>
      <w:r w:rsidRPr="00E02997">
        <w:rPr>
          <w:b/>
        </w:rPr>
        <w:lastRenderedPageBreak/>
        <w:t>6. ГАРАНТІЙНІ ЗОБОВ'ЯЗАННЯ</w:t>
      </w:r>
    </w:p>
    <w:p w14:paraId="3AF1B512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14:paraId="65BC4B3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14:paraId="039DF7AA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14:paraId="5E32EC34" w14:textId="77777777" w:rsidR="004D61D4" w:rsidRPr="00E02997" w:rsidRDefault="004D61D4" w:rsidP="004D61D4">
      <w:pPr>
        <w:tabs>
          <w:tab w:val="left" w:pos="567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3" w:name="_Hlk94629920"/>
      <w:r w:rsidRPr="00E02997">
        <w:rPr>
          <w:b/>
          <w:lang w:eastAsia="ru-RU"/>
        </w:rPr>
        <w:t>ЕЛЕКТРОННИЙ ДОКУМЕНТООБІГ</w:t>
      </w:r>
      <w:bookmarkEnd w:id="3"/>
    </w:p>
    <w:p w14:paraId="629C709D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14:paraId="26991C3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14:paraId="5ADB3F8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14:paraId="2820A23E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14:paraId="06FCDE99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14:paraId="2DF43E4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14:paraId="0E068B4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14:paraId="2C1905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14:paraId="56F2AF2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14:paraId="3736ECC6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14:paraId="51262DD6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14:paraId="40B956A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bookmarkStart w:id="4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14:paraId="213D9AA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14:paraId="5362168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14:paraId="75067B60" w14:textId="77777777" w:rsidR="004D61D4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14:paraId="14B7FF4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D80F817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71C8DB65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4195B005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268E9340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46B3B326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76EC9BC8" w14:textId="77777777" w:rsidR="004D61D4" w:rsidRPr="004A4BC3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14:paraId="6E2145D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27BA39A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br w:type="page"/>
      </w:r>
      <w:r w:rsidRPr="00E02997">
        <w:rPr>
          <w:b/>
        </w:rPr>
        <w:lastRenderedPageBreak/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14:paraId="2E41ED4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14:paraId="3239303C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 xml:space="preserve">У випадку порушення зобов'язань за Договором Сторони домовились, що мають право в односторонньому порядку застосовувати такі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санкції:</w:t>
      </w:r>
    </w:p>
    <w:p w14:paraId="56FC4D68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14:paraId="28325FEE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14:paraId="2F96FC70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14:paraId="4E5F196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14:paraId="315E2730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Cs/>
        </w:rPr>
        <w:t xml:space="preserve">В день прийняття рішення про застосування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14:paraId="04121AB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 xml:space="preserve">У разі незгоди з застосуванням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14:paraId="4597430F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14:paraId="56F45DD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14:paraId="77C1785E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14:paraId="543397DF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14:paraId="5A562B3D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14:paraId="36C5AC3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14:paraId="586C606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14:paraId="50BBC9AE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14:paraId="4F34E5C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>Договір набуває чинності з дня підписання Сторонами і діє до 01.12.2023 року включно, крім гарантійних та фінансових зобов'язань, які діють до їх повного виконання.</w:t>
      </w:r>
    </w:p>
    <w:p w14:paraId="3B5F439B" w14:textId="77777777" w:rsidR="004D61D4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5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5"/>
      <w:r w:rsidRPr="00E02997">
        <w:t>).</w:t>
      </w:r>
    </w:p>
    <w:p w14:paraId="50B15C0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7303F0F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F23BC9A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9072DCB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0374BA63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01F222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356F4416" w14:textId="77777777" w:rsidR="004D61D4" w:rsidRPr="0020320B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14:paraId="0893BFC3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00EFE42A" w14:textId="77777777"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color w:val="000000"/>
        </w:rPr>
        <w:br w:type="page"/>
      </w:r>
      <w:bookmarkEnd w:id="4"/>
      <w:r w:rsidRPr="00E02997">
        <w:rPr>
          <w:b/>
          <w:lang w:eastAsia="ru-RU"/>
        </w:rPr>
        <w:lastRenderedPageBreak/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14:paraId="0E10DE3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14:paraId="3829142F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14:paraId="1AF82342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14:paraId="3C6D6468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14:paraId="4BB1C3EB" w14:textId="77777777"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 xml:space="preserve">Невід'ємною частиною Договору є додатки: Додаток 1 Специфікація на 1 </w:t>
      </w:r>
      <w:proofErr w:type="spellStart"/>
      <w:r w:rsidRPr="00E02997">
        <w:rPr>
          <w:color w:val="000000"/>
        </w:rPr>
        <w:t>арк</w:t>
      </w:r>
      <w:proofErr w:type="spellEnd"/>
      <w:r w:rsidRPr="00E02997">
        <w:rPr>
          <w:color w:val="000000"/>
        </w:rPr>
        <w:t>.</w:t>
      </w:r>
    </w:p>
    <w:p w14:paraId="7DB5FBEA" w14:textId="77777777"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14:paraId="1EDBFA9C" w14:textId="77777777" w:rsidTr="00592ED7">
        <w:trPr>
          <w:trHeight w:val="565"/>
        </w:trPr>
        <w:tc>
          <w:tcPr>
            <w:tcW w:w="4820" w:type="dxa"/>
            <w:shd w:val="clear" w:color="auto" w:fill="auto"/>
          </w:tcPr>
          <w:p w14:paraId="498E2F47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6EB88697" w14:textId="77777777"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14:paraId="381039DB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14:paraId="618848B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14:paraId="445AA39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14:paraId="6442D582" w14:textId="77777777" w:rsidR="004D61D4" w:rsidRPr="00E02997" w:rsidRDefault="004D61D4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E02997">
              <w:rPr>
                <w:rStyle w:val="af"/>
                <w:i w:val="0"/>
                <w:u w:val="single"/>
              </w:rPr>
              <w:t>р/р UA218201720343131001600001467</w:t>
            </w:r>
          </w:p>
          <w:p w14:paraId="7305CD84" w14:textId="77777777"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14:paraId="40AA335E" w14:textId="77777777" w:rsidR="004D61D4" w:rsidRPr="00E02997" w:rsidRDefault="004D61D4" w:rsidP="00592ED7">
            <w:pPr>
              <w:jc w:val="center"/>
            </w:pPr>
          </w:p>
          <w:p w14:paraId="5C818513" w14:textId="77777777" w:rsidR="004D61D4" w:rsidRPr="00E02997" w:rsidRDefault="004D61D4" w:rsidP="00592ED7">
            <w:pPr>
              <w:jc w:val="center"/>
            </w:pPr>
          </w:p>
          <w:p w14:paraId="6FDB0144" w14:textId="77777777" w:rsidR="004D61D4" w:rsidRPr="00E02997" w:rsidRDefault="004D61D4" w:rsidP="00592ED7">
            <w:pPr>
              <w:jc w:val="center"/>
            </w:pPr>
          </w:p>
          <w:p w14:paraId="3FCC85F7" w14:textId="77777777" w:rsidR="004D61D4" w:rsidRDefault="004D61D4" w:rsidP="00592ED7">
            <w:pPr>
              <w:jc w:val="center"/>
            </w:pPr>
          </w:p>
          <w:p w14:paraId="243C1CBD" w14:textId="77777777" w:rsidR="004D61D4" w:rsidRPr="00E02997" w:rsidRDefault="004D61D4" w:rsidP="00592ED7">
            <w:pPr>
              <w:jc w:val="center"/>
            </w:pPr>
          </w:p>
          <w:p w14:paraId="3127477E" w14:textId="77777777"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14:paraId="4AEE7587" w14:textId="77777777"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91FA432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14:paraId="0DEAD813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0570167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8198FBE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7AC49AF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7939A5D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495A8D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6C7A3B4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28402AF2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0BC42FB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11627273" w14:textId="77777777" w:rsidR="004D61D4" w:rsidRDefault="004D61D4" w:rsidP="00592ED7">
            <w:pPr>
              <w:rPr>
                <w:rStyle w:val="af"/>
                <w:i w:val="0"/>
              </w:rPr>
            </w:pPr>
          </w:p>
          <w:p w14:paraId="08CD6266" w14:textId="77777777" w:rsidR="004D61D4" w:rsidRPr="00E02997" w:rsidRDefault="004D61D4" w:rsidP="00592ED7">
            <w:pPr>
              <w:rPr>
                <w:rStyle w:val="af"/>
                <w:i w:val="0"/>
              </w:rPr>
            </w:pPr>
          </w:p>
          <w:p w14:paraId="4A449482" w14:textId="77777777"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14:paraId="44021492" w14:textId="77777777"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14:paraId="7829F6C7" w14:textId="77777777" w:rsidR="004D61D4" w:rsidRDefault="004D61D4" w:rsidP="004D61D4">
      <w:pPr>
        <w:spacing w:line="226" w:lineRule="auto"/>
      </w:pPr>
    </w:p>
    <w:p w14:paraId="7CED34C3" w14:textId="77777777" w:rsidR="004D61D4" w:rsidRDefault="004D61D4" w:rsidP="004D61D4">
      <w:r>
        <w:br w:type="page"/>
      </w:r>
    </w:p>
    <w:p w14:paraId="330E2270" w14:textId="77777777" w:rsidR="004D61D4" w:rsidRPr="00591D9D" w:rsidRDefault="004D61D4" w:rsidP="004D61D4">
      <w:pPr>
        <w:rPr>
          <w:sz w:val="2"/>
          <w:szCs w:val="2"/>
        </w:rPr>
      </w:pPr>
    </w:p>
    <w:p w14:paraId="404BF76F" w14:textId="77777777"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14:paraId="3D602182" w14:textId="77777777"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14:paraId="2BF25D4E" w14:textId="77777777"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14:paraId="0BF25474" w14:textId="77777777" w:rsidR="004D61D4" w:rsidRPr="006D0046" w:rsidRDefault="004D61D4" w:rsidP="004D61D4">
      <w:pPr>
        <w:ind w:left="5954"/>
      </w:pPr>
      <w:r w:rsidRPr="006D0046">
        <w:t>до Договору № _______</w:t>
      </w:r>
    </w:p>
    <w:p w14:paraId="6A9E94D2" w14:textId="77777777" w:rsidR="004D61D4" w:rsidRPr="006D0046" w:rsidRDefault="004D61D4" w:rsidP="004D61D4">
      <w:pPr>
        <w:ind w:left="5954"/>
      </w:pPr>
      <w:r w:rsidRPr="006D0046">
        <w:t>від “___”___________ 20</w:t>
      </w:r>
      <w:r>
        <w:t>23</w:t>
      </w:r>
      <w:r w:rsidRPr="006D0046">
        <w:t xml:space="preserve"> року</w:t>
      </w:r>
    </w:p>
    <w:p w14:paraId="60C01C58" w14:textId="77777777"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C56ED" w14:textId="77777777" w:rsidR="004D61D4" w:rsidRPr="006D0046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14:paraId="056F9EB7" w14:textId="77777777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>КПКВ ____________________</w:t>
      </w:r>
    </w:p>
    <w:p w14:paraId="26287314" w14:textId="77777777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14:paraId="01C75674" w14:textId="77777777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14:paraId="78D37A43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14:paraId="64065EC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14:paraId="636F4E5C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14:paraId="401E1D9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14:paraId="5E627249" w14:textId="77777777"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14:paraId="3E2E7B3F" w14:textId="77777777" w:rsidTr="00592ED7">
        <w:trPr>
          <w:trHeight w:val="618"/>
        </w:trPr>
        <w:tc>
          <w:tcPr>
            <w:tcW w:w="658" w:type="dxa"/>
            <w:vMerge/>
            <w:vAlign w:val="center"/>
          </w:tcPr>
          <w:p w14:paraId="574C6440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14:paraId="28AEC95D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6FC4A8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ED852FF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4E50B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14:paraId="6D0399C1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14:paraId="255F7176" w14:textId="77777777" w:rsidTr="00592ED7">
        <w:trPr>
          <w:trHeight w:val="144"/>
        </w:trPr>
        <w:tc>
          <w:tcPr>
            <w:tcW w:w="658" w:type="dxa"/>
          </w:tcPr>
          <w:p w14:paraId="183AFCBA" w14:textId="77777777"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9FE211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5477D8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72A7F457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3055AC4F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61C0328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5C7FE6FC" w14:textId="77777777" w:rsidTr="00592ED7">
        <w:trPr>
          <w:trHeight w:val="144"/>
        </w:trPr>
        <w:tc>
          <w:tcPr>
            <w:tcW w:w="658" w:type="dxa"/>
          </w:tcPr>
          <w:p w14:paraId="59907E7A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1750FA85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8A77EE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6CBB7146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DF58E14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005874A7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4B66B467" w14:textId="77777777" w:rsidTr="00592ED7">
        <w:trPr>
          <w:trHeight w:val="144"/>
        </w:trPr>
        <w:tc>
          <w:tcPr>
            <w:tcW w:w="658" w:type="dxa"/>
          </w:tcPr>
          <w:p w14:paraId="31CD33DB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84B2669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60D596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292C3E75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2164C727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3238E2EF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3211813E" w14:textId="77777777" w:rsidTr="00592ED7">
        <w:trPr>
          <w:trHeight w:val="144"/>
        </w:trPr>
        <w:tc>
          <w:tcPr>
            <w:tcW w:w="658" w:type="dxa"/>
          </w:tcPr>
          <w:p w14:paraId="3E23BB7E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7BDCB613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5D41E6E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4444B47D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ACD0790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46A7E53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61F5A062" w14:textId="77777777" w:rsidTr="00592ED7">
        <w:trPr>
          <w:trHeight w:val="144"/>
        </w:trPr>
        <w:tc>
          <w:tcPr>
            <w:tcW w:w="8365" w:type="dxa"/>
            <w:gridSpan w:val="5"/>
          </w:tcPr>
          <w:p w14:paraId="6497F094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14:paraId="33F53B6D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4FD0F90F" w14:textId="77777777" w:rsidTr="00592ED7">
        <w:trPr>
          <w:trHeight w:val="144"/>
        </w:trPr>
        <w:tc>
          <w:tcPr>
            <w:tcW w:w="8365" w:type="dxa"/>
            <w:gridSpan w:val="5"/>
          </w:tcPr>
          <w:p w14:paraId="2716BD00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14:paraId="2E5D63F8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5DD60533" w14:textId="77777777" w:rsidTr="00592ED7">
        <w:trPr>
          <w:trHeight w:val="144"/>
        </w:trPr>
        <w:tc>
          <w:tcPr>
            <w:tcW w:w="8365" w:type="dxa"/>
            <w:gridSpan w:val="5"/>
          </w:tcPr>
          <w:p w14:paraId="1EEF97BB" w14:textId="77777777"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14:paraId="689CAE42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14:paraId="76924C97" w14:textId="77777777" w:rsidR="004D61D4" w:rsidRDefault="004D61D4" w:rsidP="004D61D4">
      <w:pPr>
        <w:jc w:val="center"/>
      </w:pPr>
    </w:p>
    <w:p w14:paraId="65913F9A" w14:textId="77777777" w:rsidR="004D61D4" w:rsidRDefault="004D61D4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4C13761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1041F5CD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4D7F80CE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D35AE" w14:textId="77777777" w:rsidR="004D61D4" w:rsidRPr="00F00C96" w:rsidRDefault="004D61D4" w:rsidP="00592ED7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14:paraId="71811BB1" w14:textId="77777777" w:rsidR="004D61D4" w:rsidRPr="001E3B15" w:rsidRDefault="004D61D4" w:rsidP="00592ED7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1103A15" w14:textId="77777777" w:rsidR="004D61D4" w:rsidRPr="00452F04" w:rsidRDefault="004D61D4" w:rsidP="00592ED7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14:paraId="6690F6F1" w14:textId="77777777" w:rsidR="004D61D4" w:rsidRPr="00452F04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E680C" w14:textId="77777777" w:rsidR="004D61D4" w:rsidRPr="00F00C96" w:rsidRDefault="004D61D4" w:rsidP="00592ED7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14:paraId="5ACA7A43" w14:textId="77777777" w:rsidR="004D61D4" w:rsidRPr="00F00C96" w:rsidRDefault="004D61D4" w:rsidP="00592ED7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14:paraId="23765251" w14:textId="77777777" w:rsidR="004D61D4" w:rsidRPr="001E40C1" w:rsidRDefault="004D61D4" w:rsidP="004D61D4">
      <w:pPr>
        <w:suppressAutoHyphens/>
        <w:rPr>
          <w:b/>
          <w:color w:val="000000"/>
        </w:rPr>
      </w:pPr>
    </w:p>
    <w:p w14:paraId="703AF212" w14:textId="3A467E0F" w:rsidR="007A7563" w:rsidRPr="001E40C1" w:rsidRDefault="007A7563" w:rsidP="004D61D4">
      <w:pPr>
        <w:spacing w:line="228" w:lineRule="auto"/>
        <w:ind w:firstLine="708"/>
        <w:jc w:val="right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21F2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о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ние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20377-232E-4C76-B05A-6B5B471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12</Pages>
  <Words>4667</Words>
  <Characters>26605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31210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Учетная запись Майкрософт</cp:lastModifiedBy>
  <cp:revision>152</cp:revision>
  <cp:lastPrinted>2023-09-02T10:57:00Z</cp:lastPrinted>
  <dcterms:created xsi:type="dcterms:W3CDTF">2017-03-22T07:28:00Z</dcterms:created>
  <dcterms:modified xsi:type="dcterms:W3CDTF">2023-09-02T19:33:00Z</dcterms:modified>
</cp:coreProperties>
</file>