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7" w:rsidRDefault="001C4607" w:rsidP="001C4607">
      <w:pPr>
        <w:spacing w:after="1"/>
        <w:ind w:left="0" w:firstLine="851"/>
      </w:pPr>
    </w:p>
    <w:p w:rsidR="007344F5" w:rsidRPr="007344F5" w:rsidRDefault="007344F5" w:rsidP="007344F5">
      <w:pPr>
        <w:pStyle w:val="22"/>
        <w:pBdr>
          <w:top w:val="single" w:sz="4" w:space="1" w:color="auto"/>
        </w:pBdr>
        <w:shd w:val="clear" w:color="auto" w:fill="auto"/>
        <w:jc w:val="right"/>
        <w:rPr>
          <w:b/>
          <w:sz w:val="24"/>
          <w:szCs w:val="24"/>
        </w:rPr>
      </w:pPr>
      <w:r w:rsidRPr="007344F5">
        <w:rPr>
          <w:b/>
          <w:sz w:val="24"/>
          <w:szCs w:val="24"/>
        </w:rPr>
        <w:t xml:space="preserve">Додаток </w:t>
      </w:r>
      <w:r w:rsidR="00AF3FBF">
        <w:rPr>
          <w:b/>
          <w:sz w:val="24"/>
          <w:szCs w:val="24"/>
        </w:rPr>
        <w:t>2</w:t>
      </w:r>
    </w:p>
    <w:p w:rsidR="007344F5" w:rsidRDefault="007344F5" w:rsidP="007344F5">
      <w:pPr>
        <w:pStyle w:val="22"/>
        <w:pBdr>
          <w:top w:val="single" w:sz="4" w:space="1" w:color="auto"/>
        </w:pBdr>
        <w:shd w:val="clear" w:color="auto" w:fill="auto"/>
        <w:jc w:val="right"/>
        <w:rPr>
          <w:b/>
          <w:sz w:val="24"/>
          <w:szCs w:val="24"/>
        </w:rPr>
      </w:pPr>
      <w:r w:rsidRPr="007344F5">
        <w:rPr>
          <w:b/>
          <w:sz w:val="24"/>
          <w:szCs w:val="24"/>
        </w:rPr>
        <w:t xml:space="preserve">до Тендерної документації 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rPr>
          <w:b/>
          <w:sz w:val="24"/>
          <w:szCs w:val="24"/>
        </w:rPr>
      </w:pPr>
    </w:p>
    <w:p w:rsidR="007344F5" w:rsidRPr="007344F5" w:rsidRDefault="007344F5" w:rsidP="007344F5">
      <w:pPr>
        <w:pStyle w:val="22"/>
        <w:pBdr>
          <w:top w:val="single" w:sz="4" w:space="1" w:color="auto"/>
        </w:pBdr>
        <w:rPr>
          <w:b/>
          <w:sz w:val="24"/>
          <w:szCs w:val="24"/>
        </w:rPr>
      </w:pPr>
      <w:r w:rsidRPr="007344F5">
        <w:rPr>
          <w:b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rPr>
          <w:sz w:val="24"/>
          <w:szCs w:val="24"/>
        </w:rPr>
      </w:pPr>
      <w:r w:rsidRPr="007344F5">
        <w:rPr>
          <w:b/>
          <w:sz w:val="24"/>
          <w:szCs w:val="24"/>
        </w:rPr>
        <w:t>предмета закупівлі та технічна специфікація до предмета закупівлі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rPr>
          <w:sz w:val="24"/>
          <w:szCs w:val="24"/>
        </w:rPr>
      </w:pPr>
    </w:p>
    <w:p w:rsidR="00E95326" w:rsidRDefault="00E95326" w:rsidP="007344F5">
      <w:pPr>
        <w:pStyle w:val="22"/>
        <w:pBdr>
          <w:top w:val="single" w:sz="4" w:space="1" w:color="auto"/>
        </w:pBdr>
        <w:spacing w:line="276" w:lineRule="auto"/>
        <w:rPr>
          <w:b/>
          <w:sz w:val="24"/>
          <w:szCs w:val="24"/>
        </w:rPr>
      </w:pPr>
      <w:r w:rsidRPr="00E95326">
        <w:rPr>
          <w:b/>
          <w:sz w:val="24"/>
          <w:szCs w:val="24"/>
        </w:rPr>
        <w:t>Екскаватор-навантажувач</w:t>
      </w:r>
    </w:p>
    <w:p w:rsidR="007344F5" w:rsidRPr="009D6375" w:rsidRDefault="007344F5" w:rsidP="007344F5">
      <w:pPr>
        <w:pStyle w:val="22"/>
        <w:pBdr>
          <w:top w:val="single" w:sz="4" w:space="1" w:color="auto"/>
        </w:pBdr>
        <w:spacing w:line="276" w:lineRule="auto"/>
        <w:rPr>
          <w:sz w:val="24"/>
          <w:szCs w:val="24"/>
          <w:lang w:val="en-US"/>
        </w:rPr>
      </w:pPr>
      <w:r w:rsidRPr="007344F5">
        <w:rPr>
          <w:sz w:val="24"/>
          <w:szCs w:val="24"/>
        </w:rPr>
        <w:t xml:space="preserve">(ДК 021:2015: </w:t>
      </w:r>
      <w:r w:rsidR="00E95326" w:rsidRPr="00E95326">
        <w:rPr>
          <w:sz w:val="24"/>
          <w:szCs w:val="24"/>
        </w:rPr>
        <w:t>43260000-3 Механічні лопати, екскаватори та ковшові навантажувачі, гірнича техніка</w:t>
      </w:r>
      <w:r w:rsidR="009D6375">
        <w:rPr>
          <w:sz w:val="24"/>
          <w:szCs w:val="24"/>
          <w:lang w:val="en-US"/>
        </w:rPr>
        <w:t>.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shd w:val="clear" w:color="auto" w:fill="auto"/>
        <w:spacing w:line="276" w:lineRule="auto"/>
        <w:rPr>
          <w:sz w:val="24"/>
          <w:szCs w:val="24"/>
        </w:rPr>
      </w:pPr>
    </w:p>
    <w:p w:rsidR="007344F5" w:rsidRPr="007344F5" w:rsidRDefault="007344F5" w:rsidP="007344F5">
      <w:pPr>
        <w:pStyle w:val="22"/>
        <w:pBdr>
          <w:top w:val="single" w:sz="4" w:space="1" w:color="auto"/>
        </w:pBdr>
        <w:shd w:val="clear" w:color="auto" w:fill="auto"/>
        <w:rPr>
          <w:sz w:val="24"/>
          <w:szCs w:val="24"/>
        </w:rPr>
      </w:pPr>
    </w:p>
    <w:p w:rsidR="007344F5" w:rsidRPr="007344F5" w:rsidRDefault="007344F5" w:rsidP="007344F5">
      <w:pPr>
        <w:pStyle w:val="22"/>
        <w:pBdr>
          <w:top w:val="single" w:sz="4" w:space="1" w:color="auto"/>
        </w:pBdr>
        <w:shd w:val="clear" w:color="auto" w:fill="auto"/>
        <w:spacing w:line="276" w:lineRule="auto"/>
        <w:jc w:val="both"/>
        <w:rPr>
          <w:sz w:val="24"/>
          <w:szCs w:val="24"/>
        </w:rPr>
      </w:pPr>
      <w:r w:rsidRPr="007344F5">
        <w:rPr>
          <w:b/>
          <w:sz w:val="24"/>
          <w:szCs w:val="24"/>
          <w:lang w:bidi="hi-IN"/>
        </w:rPr>
        <w:t>Прийнятний термін поставки</w:t>
      </w:r>
      <w:r w:rsidRPr="007344F5">
        <w:rPr>
          <w:b/>
          <w:sz w:val="24"/>
          <w:szCs w:val="24"/>
        </w:rPr>
        <w:t>:</w:t>
      </w:r>
      <w:r w:rsidR="00AF3FBF">
        <w:rPr>
          <w:sz w:val="24"/>
          <w:szCs w:val="24"/>
          <w:lang w:bidi="hi-IN"/>
        </w:rPr>
        <w:t>не пізніше</w:t>
      </w:r>
      <w:r w:rsidR="00763644">
        <w:rPr>
          <w:sz w:val="24"/>
          <w:szCs w:val="24"/>
          <w:lang w:bidi="hi-IN"/>
        </w:rPr>
        <w:t>3</w:t>
      </w:r>
      <w:r w:rsidR="00AF3FBF">
        <w:rPr>
          <w:sz w:val="24"/>
          <w:szCs w:val="24"/>
          <w:lang w:bidi="hi-IN"/>
        </w:rPr>
        <w:t>1</w:t>
      </w:r>
      <w:r>
        <w:rPr>
          <w:sz w:val="24"/>
          <w:szCs w:val="24"/>
          <w:lang w:bidi="hi-IN"/>
        </w:rPr>
        <w:t>.1</w:t>
      </w:r>
      <w:r w:rsidR="00763644">
        <w:rPr>
          <w:sz w:val="24"/>
          <w:szCs w:val="24"/>
          <w:lang w:bidi="hi-IN"/>
        </w:rPr>
        <w:t>0</w:t>
      </w:r>
      <w:r w:rsidRPr="007344F5">
        <w:rPr>
          <w:sz w:val="24"/>
          <w:szCs w:val="24"/>
          <w:lang w:bidi="hi-IN"/>
        </w:rPr>
        <w:t>.202</w:t>
      </w:r>
      <w:r w:rsidR="00763644">
        <w:rPr>
          <w:sz w:val="24"/>
          <w:szCs w:val="24"/>
          <w:lang w:bidi="hi-IN"/>
        </w:rPr>
        <w:t>4</w:t>
      </w:r>
      <w:r w:rsidR="00AF3FBF">
        <w:rPr>
          <w:sz w:val="24"/>
          <w:szCs w:val="24"/>
          <w:lang w:bidi="hi-IN"/>
        </w:rPr>
        <w:t>р</w:t>
      </w:r>
      <w:r w:rsidRPr="007344F5">
        <w:rPr>
          <w:sz w:val="24"/>
          <w:szCs w:val="24"/>
          <w:lang w:bidi="hi-IN"/>
        </w:rPr>
        <w:t>.</w:t>
      </w:r>
    </w:p>
    <w:p w:rsid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 w:rsidRPr="007344F5">
        <w:rPr>
          <w:b/>
          <w:sz w:val="24"/>
          <w:szCs w:val="24"/>
          <w:lang w:bidi="hi-IN"/>
        </w:rPr>
        <w:t>Умови поставки:</w:t>
      </w:r>
      <w:r w:rsidRPr="007344F5">
        <w:rPr>
          <w:sz w:val="24"/>
          <w:szCs w:val="24"/>
          <w:lang w:bidi="hi-IN"/>
        </w:rPr>
        <w:t>доставка та ро</w:t>
      </w:r>
      <w:r w:rsidR="00B4426E">
        <w:rPr>
          <w:sz w:val="24"/>
          <w:szCs w:val="24"/>
          <w:lang w:bidi="hi-IN"/>
        </w:rPr>
        <w:t>звантаження товару транспортом У</w:t>
      </w:r>
      <w:r w:rsidRPr="007344F5">
        <w:rPr>
          <w:sz w:val="24"/>
          <w:szCs w:val="24"/>
          <w:lang w:bidi="hi-IN"/>
        </w:rPr>
        <w:t>часника та за рахунок Учасника, у вартість товару також включається всі витрати та ризики, пов'язані з доставкою товару, включаючи (у відповідних випадках) будь-які «мита» (під словом «мито» розуміється відповідальність за виконання та ризики виконання дій з проходження митних процедур, а також оплата витрат митного очищення, податків, митних і інших зборів). Разом з товаром надається пакет документів необхідних для державної реєстрації транспортного засобу у відповідних органах, оформлених належним чином та посібник по експлуатації, сервісну книжку транспортного засобу тощо, вся технічна документація на товар повинна бути на українській  мові.</w:t>
      </w:r>
      <w:r w:rsidRPr="007344F5">
        <w:rPr>
          <w:sz w:val="24"/>
          <w:szCs w:val="24"/>
        </w:rPr>
        <w:t xml:space="preserve"> П</w:t>
      </w:r>
      <w:r w:rsidRPr="007344F5">
        <w:rPr>
          <w:sz w:val="24"/>
          <w:szCs w:val="24"/>
          <w:lang w:bidi="hi-IN"/>
        </w:rPr>
        <w:t>ри поставці товару Постачальник надає підготовлену виробником товару фактичну калькуляцію собівартості такого товару, яка підтверджує відповідний рівень локалізації.</w:t>
      </w:r>
    </w:p>
    <w:p w:rsidR="00112D7E" w:rsidRPr="00112D7E" w:rsidRDefault="00112D7E" w:rsidP="00112D7E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hi-IN"/>
        </w:rPr>
      </w:pPr>
      <w:r w:rsidRPr="00112D7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hi-IN"/>
        </w:rPr>
        <w:t xml:space="preserve">При здійсненні закупівлі замовник застосовує </w:t>
      </w:r>
      <w:bookmarkStart w:id="0" w:name="_Hlk163634067"/>
      <w:r w:rsidRPr="00112D7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hi-IN"/>
        </w:rPr>
        <w:t>норми пункту 6-1 Прикінцевих та перехідних положень Закону України “Про публічні закупівлі”</w:t>
      </w:r>
      <w:bookmarkEnd w:id="0"/>
      <w:r w:rsidRPr="00112D7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hi-IN"/>
        </w:rPr>
        <w:t>, а саме - замовник здійснює закупівлю товарів, виключно якщо їх ступінь локалізації виробництва дорівнює чи перевищує 20 %. З метою підтвердження відповідності запропонованого товару вимогам замовника Учасник у складі тендерної пропозиції має надати наступні документи:</w:t>
      </w:r>
    </w:p>
    <w:p w:rsidR="00112D7E" w:rsidRPr="005D1DB8" w:rsidRDefault="00112D7E" w:rsidP="005D1DB8">
      <w:pPr>
        <w:pStyle w:val="a7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5D1DB8">
        <w:rPr>
          <w:rFonts w:ascii="Times New Roman" w:eastAsia="Times New Roman" w:hAnsi="Times New Roman"/>
          <w:sz w:val="24"/>
          <w:szCs w:val="24"/>
        </w:rPr>
        <w:t xml:space="preserve">гарантійний лист, яким учасник гарантує, що ступінь локалізації товару, визначеного підпунктом 2 пункту 6-1 Прикінцевих та перехідних положень Закону, що є предметом закупівлі, </w:t>
      </w:r>
      <w:r w:rsidRPr="005D1DB8">
        <w:rPr>
          <w:rFonts w:ascii="Times New Roman" w:eastAsia="Times New Roman" w:hAnsi="Times New Roman"/>
          <w:i/>
          <w:sz w:val="24"/>
          <w:szCs w:val="24"/>
        </w:rPr>
        <w:t xml:space="preserve">дорівнює чи перевищує </w:t>
      </w:r>
      <w:r w:rsidRPr="005D1DB8">
        <w:rPr>
          <w:rFonts w:ascii="Times New Roman" w:eastAsia="Times New Roman" w:hAnsi="Times New Roman"/>
          <w:sz w:val="24"/>
          <w:szCs w:val="24"/>
          <w:highlight w:val="white"/>
        </w:rPr>
        <w:t xml:space="preserve">ступінь локалізації на відповідний рік згідно з підпунктом 1 пункту 6-1 Прикінцевих та перехідних положень Закону, а також </w:t>
      </w:r>
      <w:r w:rsidRPr="005D1DB8">
        <w:rPr>
          <w:rFonts w:ascii="Times New Roman" w:eastAsia="Times New Roman" w:hAnsi="Times New Roman"/>
          <w:sz w:val="23"/>
          <w:szCs w:val="23"/>
          <w:highlight w:val="white"/>
        </w:rPr>
        <w:t xml:space="preserve">містить </w:t>
      </w:r>
      <w:r w:rsidRPr="005D1DB8">
        <w:rPr>
          <w:rFonts w:ascii="Times New Roman" w:eastAsia="Times New Roman" w:hAnsi="Times New Roman"/>
          <w:sz w:val="24"/>
          <w:szCs w:val="24"/>
          <w:highlight w:val="white"/>
        </w:rPr>
        <w:t xml:space="preserve">інформацію про включення такого товару до Переліку (зазначити ID, назву виробника товару, назву товару, марку/модель товару). </w:t>
      </w:r>
      <w:r w:rsidRPr="005D1DB8">
        <w:rPr>
          <w:rFonts w:ascii="Times New Roman" w:eastAsia="Times New Roman" w:hAnsi="Times New Roman"/>
          <w:sz w:val="24"/>
          <w:szCs w:val="24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https://prozorro.gov.ua/search/products;</w:t>
      </w:r>
    </w:p>
    <w:p w:rsidR="00112D7E" w:rsidRPr="00112D7E" w:rsidRDefault="00112D7E" w:rsidP="00112D7E">
      <w:p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u w:val="single"/>
          <w:lang w:eastAsia="ru-RU"/>
        </w:rPr>
        <w:t>Вимога щодо надання гарантійного листа не застосовується</w:t>
      </w:r>
      <w:r w:rsidRPr="00112D7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до закупівель товарів, вартість яких дорівнює або перевищує суми, зазначені в Угоді про державні закупівлі, укладеній 15 квітня 1994 р. в м. Марракеші,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</w:t>
      </w:r>
      <w:r w:rsidRPr="00112D7E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eastAsia="ru-RU"/>
        </w:rPr>
        <w:t>що підтверджується сертифікатом про походження товару (надається у складі тендерної пропозиції), про що надається лист-пояснення</w:t>
      </w:r>
      <w:r w:rsidRPr="00112D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D1DB8" w:rsidRDefault="00112D7E" w:rsidP="005D1DB8">
      <w:pPr>
        <w:pStyle w:val="a7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DB8">
        <w:rPr>
          <w:rFonts w:ascii="Times New Roman" w:eastAsia="Times New Roman" w:hAnsi="Times New Roman"/>
          <w:sz w:val="24"/>
          <w:szCs w:val="24"/>
        </w:rPr>
        <w:t xml:space="preserve">копію сертифіката відповідності системи управління якістю у виробництві вимогам ДСТУ ISO 9001:2015 або ДСТУ EN ISO 9001:2018 (EN ISO 9001:2015, IDT; ISO 9001:2015, IDT) щодо виробника, </w:t>
      </w:r>
      <w:r w:rsidRPr="005D1DB8">
        <w:rPr>
          <w:rFonts w:ascii="Times New Roman" w:eastAsia="Times New Roman" w:hAnsi="Times New Roman"/>
          <w:bCs/>
          <w:sz w:val="24"/>
          <w:szCs w:val="24"/>
        </w:rPr>
        <w:t>продукція якого пропонується таким учасником</w:t>
      </w:r>
      <w:r w:rsidRPr="005D1DB8">
        <w:rPr>
          <w:rFonts w:ascii="Times New Roman" w:eastAsia="Times New Roman" w:hAnsi="Times New Roman"/>
          <w:sz w:val="24"/>
          <w:szCs w:val="24"/>
        </w:rPr>
        <w:t>, або національних стандартів, якими їх замінено, виданого акредитованим відповідно до законодавства органом з оцінки відповідності</w:t>
      </w:r>
      <w:r w:rsidR="005D1DB8">
        <w:rPr>
          <w:rFonts w:ascii="Times New Roman" w:eastAsia="Times New Roman" w:hAnsi="Times New Roman"/>
          <w:sz w:val="24"/>
          <w:szCs w:val="24"/>
        </w:rPr>
        <w:t>;</w:t>
      </w:r>
    </w:p>
    <w:p w:rsidR="005D1DB8" w:rsidRPr="005D1DB8" w:rsidRDefault="005D1DB8" w:rsidP="005D1DB8">
      <w:pPr>
        <w:shd w:val="clear" w:color="auto" w:fill="FFFFFF"/>
        <w:spacing w:after="200" w:line="240" w:lineRule="auto"/>
        <w:ind w:left="365" w:firstLine="0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5D1DB8">
        <w:rPr>
          <w:rFonts w:ascii="Times New Roman" w:eastAsia="Times New Roman" w:hAnsi="Times New Roman"/>
          <w:b w:val="0"/>
          <w:bCs/>
          <w:sz w:val="24"/>
          <w:szCs w:val="24"/>
        </w:rPr>
        <w:t>Для можливості перевірки дотримання Учасниками норм пункту 6-1 Прикінцевих та перехідних положень Закону України “Про публічні закупівлі”</w:t>
      </w:r>
      <w:r>
        <w:rPr>
          <w:rFonts w:ascii="Times New Roman" w:eastAsia="Times New Roman" w:hAnsi="Times New Roman"/>
          <w:b w:val="0"/>
          <w:bCs/>
          <w:sz w:val="24"/>
          <w:szCs w:val="24"/>
        </w:rPr>
        <w:t>, у складі пропозиції Учасник має надати:</w:t>
      </w:r>
    </w:p>
    <w:p w:rsidR="005D1DB8" w:rsidRDefault="00373DE0" w:rsidP="005D1DB8">
      <w:pPr>
        <w:pStyle w:val="a7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DB8">
        <w:rPr>
          <w:rFonts w:ascii="Times New Roman" w:eastAsia="Times New Roman" w:hAnsi="Times New Roman"/>
          <w:sz w:val="24"/>
          <w:szCs w:val="24"/>
        </w:rPr>
        <w:lastRenderedPageBreak/>
        <w:t>копію або витяг конструкторсько-технологічної документації  та/або підтвердження зареєстрованого право інтелектуальної власності на товар, що є предметом закупівлі, що відображено в балансі;</w:t>
      </w:r>
      <w:bookmarkStart w:id="1" w:name="n18"/>
      <w:bookmarkEnd w:id="1"/>
    </w:p>
    <w:p w:rsidR="005D1DB8" w:rsidRDefault="005D1DB8" w:rsidP="005D1DB8">
      <w:pPr>
        <w:pStyle w:val="a7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DB8">
        <w:rPr>
          <w:rFonts w:ascii="Times New Roman" w:eastAsia="Times New Roman" w:hAnsi="Times New Roman"/>
          <w:sz w:val="24"/>
          <w:szCs w:val="24"/>
        </w:rPr>
        <w:t xml:space="preserve">гарантійний лист, що </w:t>
      </w:r>
      <w:r w:rsidR="00373DE0" w:rsidRPr="005D1DB8">
        <w:rPr>
          <w:rFonts w:ascii="Times New Roman" w:eastAsia="Times New Roman" w:hAnsi="Times New Roman"/>
          <w:sz w:val="24"/>
          <w:szCs w:val="24"/>
        </w:rPr>
        <w:t>на території України виробляється не менше одного з елементів таких товарів (зокрема вузлів, агрегатів, деталей і комплектувальних виробів)</w:t>
      </w:r>
      <w:r w:rsidRPr="005D1DB8">
        <w:rPr>
          <w:rFonts w:ascii="Times New Roman" w:eastAsia="Times New Roman" w:hAnsi="Times New Roman"/>
          <w:sz w:val="24"/>
          <w:szCs w:val="24"/>
        </w:rPr>
        <w:t xml:space="preserve"> з їх зазначенням </w:t>
      </w:r>
      <w:r w:rsidR="00373DE0" w:rsidRPr="005D1DB8">
        <w:rPr>
          <w:rFonts w:ascii="Times New Roman" w:eastAsia="Times New Roman" w:hAnsi="Times New Roman"/>
          <w:sz w:val="24"/>
          <w:szCs w:val="24"/>
        </w:rPr>
        <w:t xml:space="preserve"> та/або для виробництва використовуються вузли, агрегати, деталі і комплектувальні вироби, виготовлені на території України</w:t>
      </w:r>
      <w:r w:rsidRPr="005D1DB8">
        <w:rPr>
          <w:rFonts w:ascii="Times New Roman" w:eastAsia="Times New Roman" w:hAnsi="Times New Roman"/>
          <w:sz w:val="24"/>
          <w:szCs w:val="24"/>
        </w:rPr>
        <w:t xml:space="preserve"> із їх зазначенням</w:t>
      </w:r>
      <w:r w:rsidR="00373DE0" w:rsidRPr="005D1DB8">
        <w:rPr>
          <w:rFonts w:ascii="Times New Roman" w:eastAsia="Times New Roman" w:hAnsi="Times New Roman"/>
          <w:sz w:val="24"/>
          <w:szCs w:val="24"/>
        </w:rPr>
        <w:t>;</w:t>
      </w:r>
      <w:bookmarkStart w:id="2" w:name="n19"/>
      <w:bookmarkEnd w:id="2"/>
    </w:p>
    <w:p w:rsidR="00112D7E" w:rsidRPr="005D1DB8" w:rsidRDefault="00373DE0" w:rsidP="005D1DB8">
      <w:pPr>
        <w:pStyle w:val="a7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DB8">
        <w:rPr>
          <w:rFonts w:ascii="Times New Roman" w:eastAsia="Times New Roman" w:hAnsi="Times New Roman"/>
          <w:sz w:val="24"/>
          <w:szCs w:val="24"/>
        </w:rPr>
        <w:t>лист-підтвердження від виробника запропонованого товару щодо здійснюють його гарантійного і післягарантійного обслуговування на території України з наданням переліку сервісних центрів.</w:t>
      </w:r>
    </w:p>
    <w:p w:rsidR="00112D7E" w:rsidRPr="005D1DB8" w:rsidRDefault="00112D7E" w:rsidP="005D1DB8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12D7E">
        <w:rPr>
          <w:rFonts w:ascii="UkrainianBaltica" w:eastAsia="Times New Roman" w:hAnsi="UkrainianBaltica" w:cs="Times New Roman"/>
          <w:b w:val="0"/>
          <w:bCs/>
          <w:color w:val="auto"/>
          <w:sz w:val="24"/>
          <w:szCs w:val="24"/>
          <w:lang w:eastAsia="ru-RU"/>
        </w:rPr>
        <w:t>Згідно Порядку підтвердження ступеня локалізації виробництва товарів, затвердженого постановою Кабінету Міністрів України від 02.08.2022 №861, Постачальник, одночасно з передачею товару, надає Замовнику підготовлену виробником товару фактичну калькуляцію собівартості такого товару, що оприлюднюється Замовником в електронній системі закупівель разом зі звітом про виконання договору про закупівлю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5D1DB8" w:rsidRDefault="005D1DB8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b/>
          <w:sz w:val="24"/>
          <w:szCs w:val="24"/>
          <w:lang w:bidi="hi-IN"/>
        </w:rPr>
      </w:pPr>
    </w:p>
    <w:p w:rsidR="0022284C" w:rsidRPr="0022284C" w:rsidRDefault="007344F5" w:rsidP="0022284C">
      <w:pPr>
        <w:widowControl w:val="0"/>
        <w:spacing w:before="120" w:after="120"/>
        <w:ind w:right="113" w:hanging="2"/>
        <w:rPr>
          <w:rFonts w:ascii="Times New Roman" w:hAnsi="Times New Roman" w:cs="Times New Roman"/>
          <w:b w:val="0"/>
          <w:sz w:val="24"/>
          <w:szCs w:val="24"/>
        </w:rPr>
      </w:pPr>
      <w:r w:rsidRPr="0022284C">
        <w:rPr>
          <w:b w:val="0"/>
          <w:sz w:val="24"/>
          <w:szCs w:val="24"/>
          <w:highlight w:val="yellow"/>
          <w:lang w:bidi="hi-IN"/>
        </w:rPr>
        <w:t>Адреса поставки:</w:t>
      </w:r>
      <w:r w:rsidR="00763644" w:rsidRPr="0022284C">
        <w:rPr>
          <w:b w:val="0"/>
          <w:sz w:val="24"/>
          <w:szCs w:val="24"/>
          <w:highlight w:val="yellow"/>
          <w:lang w:bidi="hi-IN"/>
        </w:rPr>
        <w:t>_</w:t>
      </w:r>
      <w:r w:rsidR="0022284C" w:rsidRPr="0022284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68211,Одеська область Білгород-Дністровський район с.Петропавлівка вулиця Гагарина,3.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</w:rPr>
      </w:pPr>
      <w:r w:rsidRPr="007344F5">
        <w:rPr>
          <w:b/>
          <w:sz w:val="24"/>
          <w:szCs w:val="24"/>
          <w:lang w:bidi="hi-IN"/>
        </w:rPr>
        <w:t>Гарантійні зобов’язання:</w:t>
      </w:r>
      <w:r w:rsidR="00447E66" w:rsidRPr="00447E66">
        <w:rPr>
          <w:sz w:val="24"/>
          <w:szCs w:val="24"/>
          <w:lang w:bidi="hi-IN"/>
        </w:rPr>
        <w:t>не менше 24 місяці або 2000 мотогодин в залежності від того, що настане раніше</w:t>
      </w:r>
      <w:r w:rsidRPr="00447E66">
        <w:rPr>
          <w:sz w:val="24"/>
          <w:szCs w:val="24"/>
          <w:lang w:bidi="hi-IN"/>
        </w:rPr>
        <w:t>.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b/>
          <w:sz w:val="24"/>
          <w:szCs w:val="24"/>
          <w:lang w:bidi="hi-IN"/>
        </w:rPr>
      </w:pPr>
      <w:r w:rsidRPr="007344F5">
        <w:rPr>
          <w:b/>
          <w:sz w:val="24"/>
          <w:szCs w:val="24"/>
          <w:lang w:bidi="hi-IN"/>
        </w:rPr>
        <w:t xml:space="preserve">Особливі вимоги: </w:t>
      </w:r>
    </w:p>
    <w:p w:rsidR="007344F5" w:rsidRP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 w:rsidRPr="007344F5">
        <w:rPr>
          <w:sz w:val="24"/>
          <w:szCs w:val="24"/>
          <w:lang w:bidi="hi-IN"/>
        </w:rPr>
        <w:t>-</w:t>
      </w:r>
      <w:r w:rsidRPr="007344F5">
        <w:rPr>
          <w:sz w:val="24"/>
          <w:szCs w:val="24"/>
          <w:lang w:bidi="hi-IN"/>
        </w:rPr>
        <w:tab/>
      </w:r>
      <w:r w:rsidRPr="007344F5">
        <w:rPr>
          <w:sz w:val="24"/>
          <w:szCs w:val="24"/>
          <w:lang w:val="ru-RU" w:bidi="hi-IN"/>
        </w:rPr>
        <w:t xml:space="preserve">товар </w:t>
      </w:r>
      <w:r w:rsidRPr="007344F5">
        <w:rPr>
          <w:rFonts w:eastAsia="Calibri"/>
          <w:sz w:val="24"/>
          <w:szCs w:val="24"/>
        </w:rPr>
        <w:t xml:space="preserve">повинен бути новим, </w:t>
      </w:r>
      <w:r w:rsidR="00763644">
        <w:rPr>
          <w:rFonts w:eastAsia="Calibri"/>
          <w:sz w:val="24"/>
          <w:szCs w:val="24"/>
        </w:rPr>
        <w:t xml:space="preserve">2024 </w:t>
      </w:r>
      <w:r w:rsidR="00447E66">
        <w:rPr>
          <w:rFonts w:eastAsia="Calibri"/>
          <w:sz w:val="24"/>
          <w:szCs w:val="24"/>
        </w:rPr>
        <w:t xml:space="preserve">року випуску, </w:t>
      </w:r>
      <w:r w:rsidRPr="007344F5">
        <w:rPr>
          <w:rFonts w:eastAsia="Calibri"/>
          <w:sz w:val="24"/>
          <w:szCs w:val="24"/>
        </w:rPr>
        <w:t xml:space="preserve">в стандартному заводському виконанні, </w:t>
      </w:r>
      <w:r w:rsidRPr="007344F5">
        <w:rPr>
          <w:sz w:val="24"/>
          <w:szCs w:val="24"/>
          <w:lang w:bidi="hi-IN"/>
        </w:rPr>
        <w:t>не мати подряпин, вм’ятин і інших пошкоджень</w:t>
      </w:r>
      <w:r w:rsidR="00763644">
        <w:rPr>
          <w:sz w:val="24"/>
          <w:szCs w:val="24"/>
          <w:lang w:bidi="hi-IN"/>
        </w:rPr>
        <w:t>;</w:t>
      </w:r>
    </w:p>
    <w:p w:rsid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 w:rsidRPr="007344F5">
        <w:rPr>
          <w:sz w:val="24"/>
          <w:szCs w:val="24"/>
          <w:lang w:bidi="hi-IN"/>
        </w:rPr>
        <w:t>-</w:t>
      </w:r>
      <w:r w:rsidRPr="007344F5">
        <w:rPr>
          <w:sz w:val="24"/>
          <w:szCs w:val="24"/>
          <w:lang w:bidi="hi-IN"/>
        </w:rPr>
        <w:tab/>
        <w:t xml:space="preserve">кожним </w:t>
      </w:r>
      <w:bookmarkStart w:id="3" w:name="_Hlk163634730"/>
      <w:r w:rsidRPr="007344F5">
        <w:rPr>
          <w:sz w:val="24"/>
          <w:szCs w:val="24"/>
          <w:lang w:bidi="hi-IN"/>
        </w:rPr>
        <w:t xml:space="preserve">учасником у складі тендерної пропозиції подається </w:t>
      </w:r>
      <w:bookmarkEnd w:id="3"/>
      <w:r w:rsidRPr="007344F5">
        <w:rPr>
          <w:sz w:val="24"/>
          <w:szCs w:val="24"/>
          <w:lang w:bidi="hi-IN"/>
        </w:rPr>
        <w:t>порівняльна таблиця відповідності запропонованого товару технічним вимогам Замовника. Для перевірки запропонованого товару технічним вимогам Замовника учасником в порівняльній таблиці обов’язково зазначається інформація про виробника та модель запропонованого товару. З метою додержання вимог чинного законодавства України, в тому числі «Санкційного законодавства», учасник в порівняльній таблиці зазначає країну походження виробника запропонованого товару. У разі відсутності вищезазначеної інформації (вимог), Замовник відхиляє тендерну пропозицію учасника як таку, що не відповідає вимогам тендерної документації.</w:t>
      </w:r>
    </w:p>
    <w:p w:rsidR="005D1DB8" w:rsidRDefault="005D1DB8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-      </w:t>
      </w:r>
      <w:r w:rsidRPr="00C2260A">
        <w:rPr>
          <w:sz w:val="24"/>
          <w:szCs w:val="24"/>
          <w:lang w:bidi="hi-IN"/>
        </w:rPr>
        <w:t xml:space="preserve">Учасник в тендерній пропозиції надає документи, що підтверджують </w:t>
      </w:r>
      <w:r>
        <w:rPr>
          <w:sz w:val="24"/>
          <w:szCs w:val="24"/>
          <w:lang w:bidi="hi-IN"/>
        </w:rPr>
        <w:t>якість</w:t>
      </w:r>
      <w:r w:rsidRPr="00C2260A">
        <w:rPr>
          <w:sz w:val="24"/>
          <w:szCs w:val="24"/>
          <w:lang w:bidi="hi-IN"/>
        </w:rPr>
        <w:t xml:space="preserve"> запропонованого товару</w:t>
      </w:r>
      <w:r>
        <w:rPr>
          <w:sz w:val="24"/>
          <w:szCs w:val="24"/>
          <w:lang w:bidi="hi-IN"/>
        </w:rPr>
        <w:t>, а саме: с</w:t>
      </w:r>
      <w:r w:rsidRPr="00C2260A">
        <w:rPr>
          <w:sz w:val="24"/>
          <w:szCs w:val="24"/>
          <w:lang w:bidi="hi-IN"/>
        </w:rPr>
        <w:t xml:space="preserve">ертифікати відповідності (якості) </w:t>
      </w:r>
      <w:r>
        <w:rPr>
          <w:sz w:val="24"/>
          <w:szCs w:val="24"/>
          <w:lang w:bidi="hi-IN"/>
        </w:rPr>
        <w:t xml:space="preserve">та/або </w:t>
      </w:r>
      <w:r w:rsidRPr="00C2260A">
        <w:rPr>
          <w:sz w:val="24"/>
          <w:szCs w:val="24"/>
          <w:lang w:bidi="hi-IN"/>
        </w:rPr>
        <w:t>декларації про відповідність</w:t>
      </w:r>
      <w:r>
        <w:rPr>
          <w:sz w:val="24"/>
          <w:szCs w:val="24"/>
          <w:lang w:bidi="hi-IN"/>
        </w:rPr>
        <w:t>.</w:t>
      </w:r>
    </w:p>
    <w:p w:rsidR="00142A0A" w:rsidRDefault="00142A0A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-    </w:t>
      </w:r>
      <w:r w:rsidRPr="00142A0A">
        <w:rPr>
          <w:bCs/>
          <w:sz w:val="24"/>
          <w:szCs w:val="24"/>
          <w:lang w:bidi="hi-IN"/>
        </w:rPr>
        <w:t>учасником у складі тендерної пропозиції подається</w:t>
      </w:r>
      <w:r>
        <w:rPr>
          <w:sz w:val="24"/>
          <w:szCs w:val="24"/>
          <w:lang w:bidi="hi-IN"/>
        </w:rPr>
        <w:t xml:space="preserve">  лист від виробника Товару з підтвердженням всіх технічних вимог та зображенням Товару з 4х сторін;</w:t>
      </w:r>
    </w:p>
    <w:p w:rsidR="007344F5" w:rsidRDefault="007344F5" w:rsidP="007344F5">
      <w:pPr>
        <w:pStyle w:val="22"/>
        <w:pBdr>
          <w:top w:val="single" w:sz="4" w:space="1" w:color="auto"/>
        </w:pBdr>
        <w:spacing w:line="276" w:lineRule="auto"/>
        <w:jc w:val="both"/>
        <w:rPr>
          <w:sz w:val="24"/>
          <w:szCs w:val="24"/>
          <w:lang w:bidi="hi-IN"/>
        </w:rPr>
      </w:pPr>
      <w:r w:rsidRPr="007344F5">
        <w:rPr>
          <w:sz w:val="24"/>
          <w:szCs w:val="24"/>
          <w:lang w:bidi="hi-IN"/>
        </w:rPr>
        <w:t>-</w:t>
      </w:r>
      <w:r w:rsidRPr="007344F5">
        <w:rPr>
          <w:sz w:val="24"/>
          <w:szCs w:val="24"/>
          <w:lang w:bidi="hi-IN"/>
        </w:rPr>
        <w:tab/>
      </w:r>
      <w:bookmarkStart w:id="4" w:name="_Hlk163634290"/>
      <w:r w:rsidR="00C2260A" w:rsidRPr="00C2260A">
        <w:rPr>
          <w:sz w:val="24"/>
          <w:szCs w:val="24"/>
          <w:lang w:bidi="hi-IN"/>
        </w:rPr>
        <w:t xml:space="preserve">Учасник в тендерній пропозиції надає </w:t>
      </w:r>
      <w:r w:rsidR="005D1DB8">
        <w:rPr>
          <w:sz w:val="24"/>
          <w:szCs w:val="24"/>
          <w:lang w:bidi="hi-IN"/>
        </w:rPr>
        <w:t>технічну специфікацію у вигляді Таблиці</w:t>
      </w:r>
      <w:r w:rsidR="00142A0A">
        <w:rPr>
          <w:sz w:val="24"/>
          <w:szCs w:val="24"/>
          <w:lang w:bidi="hi-IN"/>
        </w:rPr>
        <w:t xml:space="preserve"> 1із зазначенням конкретних параметрів, які підтверджують відповідність Товару</w:t>
      </w:r>
      <w:r w:rsidR="00C2260A" w:rsidRPr="00C2260A">
        <w:rPr>
          <w:sz w:val="24"/>
          <w:szCs w:val="24"/>
          <w:lang w:bidi="hi-IN"/>
        </w:rPr>
        <w:t xml:space="preserve"> зазначе</w:t>
      </w:r>
      <w:r w:rsidR="00142A0A">
        <w:rPr>
          <w:sz w:val="24"/>
          <w:szCs w:val="24"/>
          <w:lang w:bidi="hi-IN"/>
        </w:rPr>
        <w:t>ним</w:t>
      </w:r>
      <w:r w:rsidR="00C2260A" w:rsidRPr="00C2260A">
        <w:rPr>
          <w:sz w:val="24"/>
          <w:szCs w:val="24"/>
          <w:lang w:bidi="hi-IN"/>
        </w:rPr>
        <w:t xml:space="preserve"> нижче технічни</w:t>
      </w:r>
      <w:r w:rsidR="00142A0A">
        <w:rPr>
          <w:sz w:val="24"/>
          <w:szCs w:val="24"/>
          <w:lang w:bidi="hi-IN"/>
        </w:rPr>
        <w:t>м</w:t>
      </w:r>
      <w:r w:rsidR="00C2260A" w:rsidRPr="00C2260A">
        <w:rPr>
          <w:sz w:val="24"/>
          <w:szCs w:val="24"/>
          <w:lang w:bidi="hi-IN"/>
        </w:rPr>
        <w:t xml:space="preserve"> вимога</w:t>
      </w:r>
      <w:bookmarkEnd w:id="4"/>
      <w:r w:rsidR="00142A0A">
        <w:rPr>
          <w:sz w:val="24"/>
          <w:szCs w:val="24"/>
          <w:lang w:bidi="hi-IN"/>
        </w:rPr>
        <w:t>м</w:t>
      </w:r>
      <w:r w:rsidR="00C2260A" w:rsidRPr="00C2260A">
        <w:rPr>
          <w:sz w:val="24"/>
          <w:szCs w:val="24"/>
          <w:lang w:bidi="hi-IN"/>
        </w:rPr>
        <w:t>:</w:t>
      </w:r>
    </w:p>
    <w:p w:rsidR="005D1DB8" w:rsidRDefault="005D1DB8" w:rsidP="005D1DB8">
      <w:pPr>
        <w:pStyle w:val="22"/>
        <w:pBdr>
          <w:top w:val="single" w:sz="4" w:space="1" w:color="auto"/>
        </w:pBdr>
        <w:spacing w:line="276" w:lineRule="auto"/>
        <w:jc w:val="right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Таблиця 1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103"/>
      </w:tblGrid>
      <w:tr w:rsidR="00447E66" w:rsidRPr="00C2260A" w:rsidTr="00142A0A">
        <w:trPr>
          <w:trHeight w:val="250"/>
        </w:trPr>
        <w:tc>
          <w:tcPr>
            <w:tcW w:w="5387" w:type="dxa"/>
            <w:shd w:val="clear" w:color="auto" w:fill="auto"/>
          </w:tcPr>
          <w:p w:rsidR="00447E66" w:rsidRPr="00C2260A" w:rsidRDefault="00447E66" w:rsidP="00BD69E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0A">
              <w:rPr>
                <w:rFonts w:ascii="Times New Roman" w:hAnsi="Times New Roman" w:cs="Times New Roman"/>
                <w:sz w:val="20"/>
                <w:szCs w:val="20"/>
              </w:rPr>
              <w:t>Назва параметру</w:t>
            </w:r>
          </w:p>
          <w:p w:rsidR="00447E66" w:rsidRPr="00C2260A" w:rsidRDefault="00447E66" w:rsidP="00BD69EB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47E66" w:rsidRPr="00C2260A" w:rsidRDefault="00447E66" w:rsidP="00BD69EB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0A">
              <w:rPr>
                <w:rFonts w:ascii="Times New Roman" w:hAnsi="Times New Roman" w:cs="Times New Roman"/>
                <w:sz w:val="20"/>
                <w:szCs w:val="20"/>
              </w:rPr>
              <w:t>Параметри</w:t>
            </w:r>
          </w:p>
        </w:tc>
      </w:tr>
      <w:tr w:rsidR="00447E66" w:rsidRPr="00E95326" w:rsidTr="00142A0A">
        <w:tblPrEx>
          <w:tblLook w:val="01E0"/>
        </w:tblPrEx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Вантажність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500 кг</w:t>
            </w:r>
          </w:p>
        </w:tc>
      </w:tr>
      <w:tr w:rsidR="00447E66" w:rsidRPr="00E95326" w:rsidTr="00142A0A">
        <w:tblPrEx>
          <w:tblLook w:val="01E0"/>
        </w:tblPrEx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Експлуатаційна вага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105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00 кг</w:t>
            </w:r>
          </w:p>
        </w:tc>
      </w:tr>
      <w:tr w:rsidR="00447E66" w:rsidRPr="00E95326" w:rsidTr="00142A0A">
        <w:tblPrEx>
          <w:tblLook w:val="01E0"/>
        </w:tblPrEx>
        <w:trPr>
          <w:trHeight w:val="501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Двигун</w:t>
            </w:r>
          </w:p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E66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447E66"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изельний, потужністю не менше 7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447E66"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кВт</w:t>
            </w:r>
          </w:p>
        </w:tc>
      </w:tr>
      <w:tr w:rsidR="009B3EB4" w:rsidRPr="00E95326" w:rsidTr="00142A0A">
        <w:tblPrEx>
          <w:tblLook w:val="01E0"/>
        </w:tblPrEx>
        <w:trPr>
          <w:trHeight w:val="501"/>
        </w:trPr>
        <w:tc>
          <w:tcPr>
            <w:tcW w:w="5387" w:type="dxa"/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Об’єм двигуна</w:t>
            </w:r>
          </w:p>
        </w:tc>
        <w:tc>
          <w:tcPr>
            <w:tcW w:w="5103" w:type="dxa"/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більше 4,5л</w:t>
            </w:r>
          </w:p>
        </w:tc>
      </w:tr>
      <w:tr w:rsidR="00447E66" w:rsidRPr="00E95326" w:rsidTr="00142A0A">
        <w:tblPrEx>
          <w:tblLook w:val="01E0"/>
        </w:tblPrEx>
        <w:trPr>
          <w:trHeight w:val="401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Габаритні розміри (ДхШхВ)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6450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х2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450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х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3100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мм</w:t>
            </w:r>
          </w:p>
        </w:tc>
      </w:tr>
      <w:tr w:rsidR="00447E66" w:rsidRPr="00E95326" w:rsidTr="00142A0A">
        <w:tblPrEx>
          <w:tblLook w:val="01E0"/>
        </w:tblPrEx>
        <w:trPr>
          <w:trHeight w:val="316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Колісна база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2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 мм</w:t>
            </w:r>
          </w:p>
        </w:tc>
      </w:tr>
      <w:tr w:rsidR="00447E66" w:rsidRPr="00E95326" w:rsidTr="00142A0A">
        <w:tblPrEx>
          <w:tblLook w:val="01E0"/>
        </w:tblPrEx>
        <w:trPr>
          <w:trHeight w:val="264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Ширина колії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2000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мм</w:t>
            </w:r>
          </w:p>
        </w:tc>
      </w:tr>
      <w:tr w:rsidR="00763644" w:rsidRPr="00E95326" w:rsidTr="00142A0A">
        <w:tblPrEx>
          <w:tblLook w:val="01E0"/>
        </w:tblPrEx>
        <w:trPr>
          <w:trHeight w:val="264"/>
        </w:trPr>
        <w:tc>
          <w:tcPr>
            <w:tcW w:w="5387" w:type="dxa"/>
          </w:tcPr>
          <w:p w:rsidR="00763644" w:rsidRPr="00E95326" w:rsidRDefault="0076364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Кліренс</w:t>
            </w:r>
          </w:p>
        </w:tc>
        <w:tc>
          <w:tcPr>
            <w:tcW w:w="5103" w:type="dxa"/>
          </w:tcPr>
          <w:p w:rsidR="00763644" w:rsidRPr="00E95326" w:rsidRDefault="0076364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490 мм</w:t>
            </w:r>
          </w:p>
        </w:tc>
      </w:tr>
      <w:tr w:rsidR="00447E66" w:rsidRPr="00E95326" w:rsidTr="00142A0A">
        <w:tblPrEx>
          <w:tblLook w:val="01E0"/>
        </w:tblPrEx>
        <w:trPr>
          <w:trHeight w:val="221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Максимальна висота розвантаження (при куті 45</w:t>
            </w:r>
            <w:r w:rsidRPr="00E9532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°</w:t>
            </w:r>
            <w:r w:rsidRPr="00E9532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330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 мм</w:t>
            </w:r>
          </w:p>
        </w:tc>
      </w:tr>
      <w:tr w:rsidR="00447E66" w:rsidRPr="00E95326" w:rsidTr="00142A0A">
        <w:tblPrEx>
          <w:tblLook w:val="01E0"/>
        </w:tblPrEx>
        <w:trPr>
          <w:trHeight w:val="279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Дальність вивантаження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1000 мм</w:t>
            </w:r>
          </w:p>
        </w:tc>
      </w:tr>
      <w:tr w:rsidR="00447E66" w:rsidRPr="00E95326" w:rsidTr="00142A0A">
        <w:tblPrEx>
          <w:tblLook w:val="01E0"/>
        </w:tblPrEx>
        <w:trPr>
          <w:trHeight w:val="342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Гідропідсилювач керма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447E66" w:rsidRPr="00E95326" w:rsidTr="00142A0A">
        <w:tblPrEx>
          <w:tblLook w:val="01E0"/>
        </w:tblPrEx>
        <w:trPr>
          <w:trHeight w:val="645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Гідравлічна система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numPr>
                <w:ilvl w:val="0"/>
                <w:numId w:val="8"/>
              </w:numPr>
              <w:spacing w:after="0" w:line="240" w:lineRule="auto"/>
              <w:ind w:left="94" w:hanging="94"/>
              <w:contextualSpacing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продуктивність не менше 1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л/хв;</w:t>
            </w:r>
          </w:p>
          <w:p w:rsidR="00447E66" w:rsidRPr="00E95326" w:rsidRDefault="00447E66" w:rsidP="00E95326">
            <w:pPr>
              <w:numPr>
                <w:ilvl w:val="0"/>
                <w:numId w:val="8"/>
              </w:numPr>
              <w:spacing w:after="0" w:line="240" w:lineRule="auto"/>
              <w:ind w:left="94" w:hanging="94"/>
              <w:contextualSpacing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тиск не менше 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230 бар</w:t>
            </w:r>
          </w:p>
        </w:tc>
      </w:tr>
      <w:tr w:rsidR="00447E66" w:rsidRPr="00E95326" w:rsidTr="00142A0A">
        <w:tblPrEx>
          <w:tblLook w:val="01E0"/>
        </w:tblPrEx>
        <w:trPr>
          <w:trHeight w:val="514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Телескопічна стріла екскаватора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447E66" w:rsidRPr="00E95326" w:rsidTr="00142A0A">
        <w:tblPrEx>
          <w:tblLook w:val="01E0"/>
        </w:tblPrEx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Коробка передач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вперед/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назад</w:t>
            </w:r>
          </w:p>
        </w:tc>
      </w:tr>
      <w:tr w:rsidR="00447E66" w:rsidRPr="00E95326" w:rsidTr="00142A0A">
        <w:tblPrEx>
          <w:tblLook w:val="01E0"/>
        </w:tblPrEx>
        <w:trPr>
          <w:trHeight w:val="322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Об’єм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навантажувального 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ковша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 1 м3</w:t>
            </w:r>
          </w:p>
        </w:tc>
      </w:tr>
      <w:tr w:rsidR="00447E66" w:rsidRPr="00E95326" w:rsidTr="00142A0A">
        <w:tblPrEx>
          <w:tblLook w:val="01E0"/>
        </w:tblPrEx>
        <w:trPr>
          <w:trHeight w:val="280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Об’єм </w:t>
            </w:r>
            <w:r w:rsidR="007636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екскаваторного 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ковша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0,3 м3</w:t>
            </w:r>
          </w:p>
        </w:tc>
      </w:tr>
      <w:tr w:rsidR="00447E66" w:rsidRPr="00E95326" w:rsidTr="00142A0A">
        <w:tblPrEx>
          <w:tblLook w:val="01E0"/>
        </w:tblPrEx>
        <w:trPr>
          <w:trHeight w:val="403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Максимальна глибина копання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00 мм</w:t>
            </w:r>
          </w:p>
        </w:tc>
      </w:tr>
      <w:tr w:rsidR="00447E66" w:rsidRPr="00E95326" w:rsidTr="00142A0A">
        <w:tblPrEx>
          <w:tblLook w:val="01E0"/>
        </w:tblPrEx>
        <w:trPr>
          <w:trHeight w:val="267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Максимальний радіус копання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6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00 мм</w:t>
            </w:r>
          </w:p>
        </w:tc>
      </w:tr>
      <w:tr w:rsidR="00447E66" w:rsidRPr="00E95326" w:rsidTr="00142A0A">
        <w:tblPrEx>
          <w:tblLook w:val="01E0"/>
        </w:tblPrEx>
        <w:trPr>
          <w:trHeight w:val="399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Максимальна висота завантаження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4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 мм</w:t>
            </w:r>
          </w:p>
        </w:tc>
      </w:tr>
      <w:tr w:rsidR="00447E66" w:rsidRPr="00E95326" w:rsidTr="00142A0A">
        <w:tblPrEx>
          <w:tblLook w:val="01E0"/>
        </w:tblPrEx>
        <w:trPr>
          <w:trHeight w:val="418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Максимальна висота копання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6650 мм</w:t>
            </w:r>
          </w:p>
        </w:tc>
      </w:tr>
      <w:tr w:rsidR="009B3EB4" w:rsidRPr="00E95326" w:rsidTr="00142A0A">
        <w:tblPrEx>
          <w:tblLook w:val="01E0"/>
        </w:tblPrEx>
        <w:trPr>
          <w:trHeight w:val="425"/>
        </w:trPr>
        <w:tc>
          <w:tcPr>
            <w:tcW w:w="5387" w:type="dxa"/>
          </w:tcPr>
          <w:p w:rsidR="009B3EB4" w:rsidRPr="00E95326" w:rsidRDefault="00142A0A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ерування</w:t>
            </w:r>
          </w:p>
        </w:tc>
        <w:tc>
          <w:tcPr>
            <w:tcW w:w="5103" w:type="dxa"/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джойстики</w:t>
            </w:r>
          </w:p>
        </w:tc>
      </w:tr>
      <w:tr w:rsidR="00447E66" w:rsidRPr="00E95326" w:rsidTr="00142A0A">
        <w:tblPrEx>
          <w:tblLook w:val="01E0"/>
        </w:tblPrEx>
        <w:trPr>
          <w:trHeight w:val="615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Підйомна сила при максимальному радіусі копання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1200 кг</w:t>
            </w:r>
          </w:p>
        </w:tc>
      </w:tr>
      <w:tr w:rsidR="00447E66" w:rsidRPr="00E95326" w:rsidTr="00142A0A">
        <w:tblPrEx>
          <w:tblLook w:val="01E0"/>
        </w:tblPrEx>
        <w:trPr>
          <w:trHeight w:val="496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Кабіна оператора повинна бути обладнана пристроєм ROPS/FOPS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447E66" w:rsidRPr="00E95326" w:rsidTr="00142A0A">
        <w:tblPrEx>
          <w:tblLook w:val="01E0"/>
        </w:tblPrEx>
        <w:trPr>
          <w:trHeight w:val="296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Привід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2WD, 4WD</w:t>
            </w:r>
          </w:p>
        </w:tc>
      </w:tr>
      <w:tr w:rsidR="009B3EB4" w:rsidRPr="00E95326" w:rsidTr="00142A0A">
        <w:tblPrEx>
          <w:tblLook w:val="01E0"/>
        </w:tblPrEx>
        <w:trPr>
          <w:trHeight w:val="296"/>
        </w:trPr>
        <w:tc>
          <w:tcPr>
            <w:tcW w:w="5387" w:type="dxa"/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Управління коліс</w:t>
            </w:r>
          </w:p>
        </w:tc>
        <w:tc>
          <w:tcPr>
            <w:tcW w:w="5103" w:type="dxa"/>
          </w:tcPr>
          <w:p w:rsidR="009B3EB4" w:rsidRPr="009B3EB4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передні поворотні, задні  поворотні, крабових хід</w:t>
            </w:r>
          </w:p>
        </w:tc>
      </w:tr>
      <w:tr w:rsidR="009B3EB4" w:rsidRPr="00E95326" w:rsidTr="00142A0A">
        <w:tblPrEx>
          <w:tblLook w:val="01E0"/>
        </w:tblPrEx>
        <w:trPr>
          <w:trHeight w:val="296"/>
        </w:trPr>
        <w:tc>
          <w:tcPr>
            <w:tcW w:w="5387" w:type="dxa"/>
          </w:tcPr>
          <w:p w:rsidR="009B3EB4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Шини</w:t>
            </w:r>
          </w:p>
        </w:tc>
        <w:tc>
          <w:tcPr>
            <w:tcW w:w="5103" w:type="dxa"/>
          </w:tcPr>
          <w:p w:rsidR="009B3EB4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передні/задні не менше 16.9-28</w:t>
            </w:r>
          </w:p>
        </w:tc>
      </w:tr>
      <w:tr w:rsidR="00447E66" w:rsidRPr="00E95326" w:rsidTr="00142A0A">
        <w:tblPrEx>
          <w:tblLook w:val="01E0"/>
        </w:tblPrEx>
        <w:trPr>
          <w:trHeight w:val="414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Максимальна швидкість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менше 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км/г</w:t>
            </w:r>
          </w:p>
        </w:tc>
      </w:tr>
      <w:tr w:rsidR="00447E66" w:rsidRPr="00E95326" w:rsidTr="00142A0A">
        <w:tblPrEx>
          <w:tblLook w:val="01E0"/>
        </w:tblPrEx>
        <w:trPr>
          <w:trHeight w:val="277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Паливний бак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менше 1</w:t>
            </w:r>
            <w:r w:rsidR="009B3E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5 л</w:t>
            </w:r>
          </w:p>
        </w:tc>
      </w:tr>
      <w:tr w:rsidR="00447E66" w:rsidRPr="00E95326" w:rsidTr="00142A0A">
        <w:tblPrEx>
          <w:tblLook w:val="01E0"/>
        </w:tblPrEx>
        <w:trPr>
          <w:trHeight w:val="304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Звуковий сигнал заднього ходу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447E66" w:rsidRPr="00E95326" w:rsidTr="00142A0A">
        <w:tblPrEx>
          <w:tblLook w:val="01E0"/>
        </w:tblPrEx>
        <w:trPr>
          <w:trHeight w:val="305"/>
        </w:trPr>
        <w:tc>
          <w:tcPr>
            <w:tcW w:w="5387" w:type="dxa"/>
          </w:tcPr>
          <w:p w:rsidR="00447E66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Обігрівач та к</w:t>
            </w:r>
            <w:r w:rsidR="00447E66"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ондиціонер 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447E66" w:rsidRPr="00E95326" w:rsidTr="00142A0A">
        <w:tblPrEx>
          <w:tblLook w:val="01E0"/>
        </w:tblPrEx>
        <w:trPr>
          <w:trHeight w:val="399"/>
        </w:trPr>
        <w:tc>
          <w:tcPr>
            <w:tcW w:w="5387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Проблисковий маячок</w:t>
            </w:r>
          </w:p>
        </w:tc>
        <w:tc>
          <w:tcPr>
            <w:tcW w:w="5103" w:type="dxa"/>
          </w:tcPr>
          <w:p w:rsidR="00447E66" w:rsidRPr="00E95326" w:rsidRDefault="00447E66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  <w:tr w:rsidR="009B3EB4" w:rsidRPr="00E95326" w:rsidTr="00142A0A">
        <w:tblPrEx>
          <w:tblLook w:val="01E0"/>
        </w:tblPrEx>
        <w:trPr>
          <w:trHeight w:val="410"/>
        </w:trPr>
        <w:tc>
          <w:tcPr>
            <w:tcW w:w="5387" w:type="dxa"/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Камера заднього виду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B3EB4" w:rsidRPr="00E95326" w:rsidRDefault="009B3EB4" w:rsidP="00E9532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наявності</w:t>
            </w:r>
          </w:p>
        </w:tc>
      </w:tr>
    </w:tbl>
    <w:p w:rsidR="00C2260A" w:rsidRDefault="00C2260A" w:rsidP="00C2260A">
      <w:pPr>
        <w:pStyle w:val="32"/>
        <w:keepNext/>
        <w:keepLines/>
        <w:shd w:val="clear" w:color="auto" w:fill="auto"/>
        <w:spacing w:after="820"/>
        <w:ind w:firstLine="0"/>
        <w:jc w:val="center"/>
        <w:rPr>
          <w:i/>
          <w:sz w:val="22"/>
          <w:szCs w:val="22"/>
          <w:lang w:eastAsia="ru-RU"/>
        </w:rPr>
      </w:pPr>
      <w:r w:rsidRPr="00232672">
        <w:rPr>
          <w:i/>
          <w:sz w:val="22"/>
          <w:szCs w:val="22"/>
          <w:u w:val="single"/>
          <w:lang w:eastAsia="ru-RU"/>
        </w:rPr>
        <w:t xml:space="preserve">Примітка: </w:t>
      </w:r>
      <w:r w:rsidRPr="00232672">
        <w:rPr>
          <w:i/>
          <w:sz w:val="22"/>
          <w:szCs w:val="22"/>
          <w:lang w:eastAsia="ru-RU"/>
        </w:rPr>
        <w:t>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983BB6" w:rsidRDefault="00983BB6" w:rsidP="002F191D">
      <w:pPr>
        <w:tabs>
          <w:tab w:val="center" w:pos="3545"/>
          <w:tab w:val="center" w:pos="6687"/>
        </w:tabs>
        <w:spacing w:after="0" w:line="259" w:lineRule="auto"/>
        <w:ind w:left="0" w:firstLine="0"/>
        <w:jc w:val="left"/>
      </w:pPr>
    </w:p>
    <w:p w:rsidR="00983BB6" w:rsidRPr="00BB03F7" w:rsidRDefault="00983BB6" w:rsidP="007F655A">
      <w:pPr>
        <w:tabs>
          <w:tab w:val="center" w:pos="3545"/>
          <w:tab w:val="center" w:pos="6687"/>
        </w:tabs>
        <w:spacing w:after="0" w:line="259" w:lineRule="auto"/>
        <w:ind w:left="0" w:firstLine="0"/>
        <w:jc w:val="center"/>
      </w:pPr>
    </w:p>
    <w:sectPr w:rsidR="00983BB6" w:rsidRPr="00BB03F7" w:rsidSect="00D66A5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16" w:rsidRDefault="003E0816" w:rsidP="004977C6">
      <w:pPr>
        <w:spacing w:after="0" w:line="240" w:lineRule="auto"/>
      </w:pPr>
      <w:r>
        <w:separator/>
      </w:r>
    </w:p>
  </w:endnote>
  <w:endnote w:type="continuationSeparator" w:id="1">
    <w:p w:rsidR="003E0816" w:rsidRDefault="003E0816" w:rsidP="004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16" w:rsidRDefault="003E0816" w:rsidP="004977C6">
      <w:pPr>
        <w:spacing w:after="0" w:line="240" w:lineRule="auto"/>
      </w:pPr>
      <w:r>
        <w:separator/>
      </w:r>
    </w:p>
  </w:footnote>
  <w:footnote w:type="continuationSeparator" w:id="1">
    <w:p w:rsidR="003E0816" w:rsidRDefault="003E0816" w:rsidP="0049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08B"/>
    <w:multiLevelType w:val="hybridMultilevel"/>
    <w:tmpl w:val="BBD08E2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25612"/>
    <w:multiLevelType w:val="hybridMultilevel"/>
    <w:tmpl w:val="6786D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C5B"/>
    <w:multiLevelType w:val="hybridMultilevel"/>
    <w:tmpl w:val="7D1E614A"/>
    <w:lvl w:ilvl="0" w:tplc="FA0EAF24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40715EF2"/>
    <w:multiLevelType w:val="hybridMultilevel"/>
    <w:tmpl w:val="7E923B58"/>
    <w:lvl w:ilvl="0" w:tplc="A2F29E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1113"/>
    <w:multiLevelType w:val="hybridMultilevel"/>
    <w:tmpl w:val="4850AAE0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4921F4"/>
    <w:multiLevelType w:val="singleLevel"/>
    <w:tmpl w:val="E2EE6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E901A5"/>
    <w:multiLevelType w:val="hybridMultilevel"/>
    <w:tmpl w:val="42C011E0"/>
    <w:lvl w:ilvl="0" w:tplc="770EEA12">
      <w:start w:val="140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6A0E6759"/>
    <w:multiLevelType w:val="hybridMultilevel"/>
    <w:tmpl w:val="389C0158"/>
    <w:lvl w:ilvl="0" w:tplc="D9821350">
      <w:start w:val="849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71786028"/>
    <w:multiLevelType w:val="hybridMultilevel"/>
    <w:tmpl w:val="3DDA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EFE"/>
    <w:multiLevelType w:val="multilevel"/>
    <w:tmpl w:val="D67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977C6"/>
    <w:rsid w:val="00003FD3"/>
    <w:rsid w:val="00004F6C"/>
    <w:rsid w:val="00020B5A"/>
    <w:rsid w:val="0002357E"/>
    <w:rsid w:val="00031F4C"/>
    <w:rsid w:val="000325A0"/>
    <w:rsid w:val="00034815"/>
    <w:rsid w:val="00056CFB"/>
    <w:rsid w:val="00071AC2"/>
    <w:rsid w:val="000825F0"/>
    <w:rsid w:val="00084E6A"/>
    <w:rsid w:val="000B1BE0"/>
    <w:rsid w:val="000B40A4"/>
    <w:rsid w:val="000E33C3"/>
    <w:rsid w:val="000F5E5D"/>
    <w:rsid w:val="000F6D6B"/>
    <w:rsid w:val="001124F7"/>
    <w:rsid w:val="00112D7E"/>
    <w:rsid w:val="0011317D"/>
    <w:rsid w:val="00113A0F"/>
    <w:rsid w:val="00142A0A"/>
    <w:rsid w:val="0015635A"/>
    <w:rsid w:val="00156F79"/>
    <w:rsid w:val="0016517B"/>
    <w:rsid w:val="00173903"/>
    <w:rsid w:val="001A7288"/>
    <w:rsid w:val="001B5D10"/>
    <w:rsid w:val="001C4607"/>
    <w:rsid w:val="001D7470"/>
    <w:rsid w:val="001F1960"/>
    <w:rsid w:val="0021722B"/>
    <w:rsid w:val="0022284C"/>
    <w:rsid w:val="00235FCF"/>
    <w:rsid w:val="00251B48"/>
    <w:rsid w:val="00251FEF"/>
    <w:rsid w:val="0025358D"/>
    <w:rsid w:val="002637A6"/>
    <w:rsid w:val="00280202"/>
    <w:rsid w:val="002A27E2"/>
    <w:rsid w:val="002A38B9"/>
    <w:rsid w:val="002A5902"/>
    <w:rsid w:val="002B2FAD"/>
    <w:rsid w:val="002B787A"/>
    <w:rsid w:val="002C4DFA"/>
    <w:rsid w:val="002F191D"/>
    <w:rsid w:val="002F4E06"/>
    <w:rsid w:val="002F5BC5"/>
    <w:rsid w:val="00316F1D"/>
    <w:rsid w:val="00321442"/>
    <w:rsid w:val="00325422"/>
    <w:rsid w:val="003300FA"/>
    <w:rsid w:val="00345506"/>
    <w:rsid w:val="00371BA3"/>
    <w:rsid w:val="00373DE0"/>
    <w:rsid w:val="00381465"/>
    <w:rsid w:val="00383343"/>
    <w:rsid w:val="00392093"/>
    <w:rsid w:val="00397F9A"/>
    <w:rsid w:val="003A593C"/>
    <w:rsid w:val="003D1EA9"/>
    <w:rsid w:val="003E0816"/>
    <w:rsid w:val="003E2343"/>
    <w:rsid w:val="003E3DFE"/>
    <w:rsid w:val="00416D44"/>
    <w:rsid w:val="0041700F"/>
    <w:rsid w:val="00422291"/>
    <w:rsid w:val="00422AE0"/>
    <w:rsid w:val="00427772"/>
    <w:rsid w:val="00447E66"/>
    <w:rsid w:val="00452728"/>
    <w:rsid w:val="00462B45"/>
    <w:rsid w:val="004645A3"/>
    <w:rsid w:val="0047060C"/>
    <w:rsid w:val="004754E7"/>
    <w:rsid w:val="00475B16"/>
    <w:rsid w:val="00477D5B"/>
    <w:rsid w:val="00482CDF"/>
    <w:rsid w:val="004977C6"/>
    <w:rsid w:val="004A25A6"/>
    <w:rsid w:val="004A6612"/>
    <w:rsid w:val="004B4E67"/>
    <w:rsid w:val="004E059D"/>
    <w:rsid w:val="004E14AD"/>
    <w:rsid w:val="004E2AB4"/>
    <w:rsid w:val="004F23F5"/>
    <w:rsid w:val="004F7255"/>
    <w:rsid w:val="00550EED"/>
    <w:rsid w:val="00555B9D"/>
    <w:rsid w:val="005647C1"/>
    <w:rsid w:val="005A5F1D"/>
    <w:rsid w:val="005C077E"/>
    <w:rsid w:val="005D1DB8"/>
    <w:rsid w:val="005F18AD"/>
    <w:rsid w:val="006016CD"/>
    <w:rsid w:val="00621D45"/>
    <w:rsid w:val="006251A6"/>
    <w:rsid w:val="00635D9B"/>
    <w:rsid w:val="00640D57"/>
    <w:rsid w:val="00655202"/>
    <w:rsid w:val="00664033"/>
    <w:rsid w:val="0069338E"/>
    <w:rsid w:val="006A0D74"/>
    <w:rsid w:val="006A5BB9"/>
    <w:rsid w:val="006B75F3"/>
    <w:rsid w:val="006C46AE"/>
    <w:rsid w:val="006F366F"/>
    <w:rsid w:val="00700143"/>
    <w:rsid w:val="00704626"/>
    <w:rsid w:val="00716EBD"/>
    <w:rsid w:val="0072680C"/>
    <w:rsid w:val="007344F5"/>
    <w:rsid w:val="00756CDE"/>
    <w:rsid w:val="00763644"/>
    <w:rsid w:val="00781DB6"/>
    <w:rsid w:val="0079487F"/>
    <w:rsid w:val="007A2770"/>
    <w:rsid w:val="007D18B5"/>
    <w:rsid w:val="007D2BC4"/>
    <w:rsid w:val="007D653C"/>
    <w:rsid w:val="007F655A"/>
    <w:rsid w:val="008014FA"/>
    <w:rsid w:val="008040D7"/>
    <w:rsid w:val="008256C9"/>
    <w:rsid w:val="00826CBE"/>
    <w:rsid w:val="00846DD4"/>
    <w:rsid w:val="008508C0"/>
    <w:rsid w:val="008553D2"/>
    <w:rsid w:val="008608DD"/>
    <w:rsid w:val="00864ECD"/>
    <w:rsid w:val="008676CA"/>
    <w:rsid w:val="0088628A"/>
    <w:rsid w:val="008B6155"/>
    <w:rsid w:val="008C43AE"/>
    <w:rsid w:val="008C6AC6"/>
    <w:rsid w:val="008E6FA4"/>
    <w:rsid w:val="008F56F8"/>
    <w:rsid w:val="00927588"/>
    <w:rsid w:val="0094606A"/>
    <w:rsid w:val="009529B8"/>
    <w:rsid w:val="0095637E"/>
    <w:rsid w:val="00983BB6"/>
    <w:rsid w:val="0098619F"/>
    <w:rsid w:val="0099123C"/>
    <w:rsid w:val="009A7E05"/>
    <w:rsid w:val="009B0856"/>
    <w:rsid w:val="009B3EB4"/>
    <w:rsid w:val="009C0159"/>
    <w:rsid w:val="009D6375"/>
    <w:rsid w:val="009D65F9"/>
    <w:rsid w:val="009F3B11"/>
    <w:rsid w:val="009F410A"/>
    <w:rsid w:val="00A14909"/>
    <w:rsid w:val="00A2490C"/>
    <w:rsid w:val="00A375B3"/>
    <w:rsid w:val="00A37973"/>
    <w:rsid w:val="00A40242"/>
    <w:rsid w:val="00A46127"/>
    <w:rsid w:val="00A50C5F"/>
    <w:rsid w:val="00A60113"/>
    <w:rsid w:val="00A608C9"/>
    <w:rsid w:val="00A669B8"/>
    <w:rsid w:val="00A7178F"/>
    <w:rsid w:val="00A71CF4"/>
    <w:rsid w:val="00A72FBA"/>
    <w:rsid w:val="00A73630"/>
    <w:rsid w:val="00A85D83"/>
    <w:rsid w:val="00A86D55"/>
    <w:rsid w:val="00A97522"/>
    <w:rsid w:val="00AB6384"/>
    <w:rsid w:val="00AD7675"/>
    <w:rsid w:val="00AE5879"/>
    <w:rsid w:val="00AF3FBF"/>
    <w:rsid w:val="00B4426E"/>
    <w:rsid w:val="00B62FDB"/>
    <w:rsid w:val="00B742F9"/>
    <w:rsid w:val="00B84F78"/>
    <w:rsid w:val="00B95FBD"/>
    <w:rsid w:val="00BA3ACF"/>
    <w:rsid w:val="00BB03F7"/>
    <w:rsid w:val="00BC138F"/>
    <w:rsid w:val="00BC47EF"/>
    <w:rsid w:val="00BC5484"/>
    <w:rsid w:val="00BC5873"/>
    <w:rsid w:val="00BF4BE0"/>
    <w:rsid w:val="00BF5105"/>
    <w:rsid w:val="00C070B8"/>
    <w:rsid w:val="00C16502"/>
    <w:rsid w:val="00C212BE"/>
    <w:rsid w:val="00C2260A"/>
    <w:rsid w:val="00C268CE"/>
    <w:rsid w:val="00C27163"/>
    <w:rsid w:val="00C3365C"/>
    <w:rsid w:val="00C50AF5"/>
    <w:rsid w:val="00C548C6"/>
    <w:rsid w:val="00C64774"/>
    <w:rsid w:val="00C77B87"/>
    <w:rsid w:val="00CA74E5"/>
    <w:rsid w:val="00CB0AEB"/>
    <w:rsid w:val="00CB245A"/>
    <w:rsid w:val="00CB3892"/>
    <w:rsid w:val="00CC53EF"/>
    <w:rsid w:val="00CD27ED"/>
    <w:rsid w:val="00CD5E8C"/>
    <w:rsid w:val="00CE178E"/>
    <w:rsid w:val="00CE33E8"/>
    <w:rsid w:val="00CE7010"/>
    <w:rsid w:val="00D03FE6"/>
    <w:rsid w:val="00D04920"/>
    <w:rsid w:val="00D059CD"/>
    <w:rsid w:val="00D11970"/>
    <w:rsid w:val="00D15331"/>
    <w:rsid w:val="00D15857"/>
    <w:rsid w:val="00D32842"/>
    <w:rsid w:val="00D40EE9"/>
    <w:rsid w:val="00D505A5"/>
    <w:rsid w:val="00D511D3"/>
    <w:rsid w:val="00D53CA7"/>
    <w:rsid w:val="00D66A55"/>
    <w:rsid w:val="00D75E23"/>
    <w:rsid w:val="00DA624E"/>
    <w:rsid w:val="00DA7EEB"/>
    <w:rsid w:val="00DE4C3D"/>
    <w:rsid w:val="00E10DDB"/>
    <w:rsid w:val="00E23E02"/>
    <w:rsid w:val="00E24835"/>
    <w:rsid w:val="00E31EAB"/>
    <w:rsid w:val="00E32B5E"/>
    <w:rsid w:val="00E473EC"/>
    <w:rsid w:val="00E6395D"/>
    <w:rsid w:val="00E67C54"/>
    <w:rsid w:val="00E76843"/>
    <w:rsid w:val="00E92B08"/>
    <w:rsid w:val="00E94585"/>
    <w:rsid w:val="00E95326"/>
    <w:rsid w:val="00EA744C"/>
    <w:rsid w:val="00EC0B92"/>
    <w:rsid w:val="00EC1133"/>
    <w:rsid w:val="00EC300D"/>
    <w:rsid w:val="00EC6913"/>
    <w:rsid w:val="00ED0EA0"/>
    <w:rsid w:val="00ED3045"/>
    <w:rsid w:val="00ED44CB"/>
    <w:rsid w:val="00EE12D2"/>
    <w:rsid w:val="00EF4BC7"/>
    <w:rsid w:val="00F3541D"/>
    <w:rsid w:val="00F5139A"/>
    <w:rsid w:val="00F55524"/>
    <w:rsid w:val="00F5560F"/>
    <w:rsid w:val="00F63E1C"/>
    <w:rsid w:val="00F6455E"/>
    <w:rsid w:val="00F65049"/>
    <w:rsid w:val="00F6637E"/>
    <w:rsid w:val="00F80E6A"/>
    <w:rsid w:val="00F85C09"/>
    <w:rsid w:val="00F87EAC"/>
    <w:rsid w:val="00FA0E86"/>
    <w:rsid w:val="00FB29CF"/>
    <w:rsid w:val="00FE0704"/>
    <w:rsid w:val="00FE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6"/>
    <w:pPr>
      <w:spacing w:after="160" w:line="258" w:lineRule="auto"/>
      <w:ind w:left="375" w:hanging="10"/>
      <w:jc w:val="both"/>
    </w:pPr>
    <w:rPr>
      <w:rFonts w:cs="Calibri"/>
      <w:b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B48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1B48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="Calibri Light" w:eastAsia="Times New Roman" w:hAnsi="Calibri Light" w:cs="Times New Roman"/>
      <w:b w:val="0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288"/>
    <w:pPr>
      <w:keepNext/>
      <w:spacing w:before="240" w:after="60"/>
      <w:outlineLvl w:val="2"/>
    </w:pPr>
    <w:rPr>
      <w:rFonts w:ascii="Calibri Light" w:eastAsia="Times New Roman" w:hAnsi="Calibri Light" w:cs="Times New Roman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133"/>
    <w:pPr>
      <w:spacing w:before="240" w:after="60"/>
      <w:outlineLvl w:val="4"/>
    </w:pPr>
    <w:rPr>
      <w:rFonts w:eastAsia="Times New Roman" w:cs="Times New Roman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C6"/>
    <w:pPr>
      <w:tabs>
        <w:tab w:val="center" w:pos="4819"/>
        <w:tab w:val="right" w:pos="9639"/>
      </w:tabs>
      <w:spacing w:after="0" w:line="240" w:lineRule="auto"/>
      <w:ind w:left="0" w:firstLine="0"/>
      <w:jc w:val="left"/>
    </w:pPr>
    <w:rPr>
      <w:rFonts w:cs="Times New Roman"/>
      <w:b w:val="0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77C6"/>
  </w:style>
  <w:style w:type="paragraph" w:styleId="a5">
    <w:name w:val="footer"/>
    <w:basedOn w:val="a"/>
    <w:link w:val="a6"/>
    <w:uiPriority w:val="99"/>
    <w:unhideWhenUsed/>
    <w:rsid w:val="004977C6"/>
    <w:pPr>
      <w:tabs>
        <w:tab w:val="center" w:pos="4819"/>
        <w:tab w:val="right" w:pos="9639"/>
      </w:tabs>
      <w:spacing w:after="0" w:line="240" w:lineRule="auto"/>
      <w:ind w:left="0" w:firstLine="0"/>
      <w:jc w:val="left"/>
    </w:pPr>
    <w:rPr>
      <w:rFonts w:cs="Times New Roman"/>
      <w:b w:val="0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77C6"/>
  </w:style>
  <w:style w:type="character" w:customStyle="1" w:styleId="10">
    <w:name w:val="Заголовок 1 Знак"/>
    <w:link w:val="1"/>
    <w:uiPriority w:val="9"/>
    <w:rsid w:val="00251B4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251B4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7">
    <w:name w:val="List Paragraph"/>
    <w:basedOn w:val="a"/>
    <w:uiPriority w:val="34"/>
    <w:qFormat/>
    <w:rsid w:val="00251B48"/>
    <w:pPr>
      <w:spacing w:line="259" w:lineRule="auto"/>
      <w:ind w:left="720" w:firstLine="0"/>
      <w:contextualSpacing/>
      <w:jc w:val="left"/>
    </w:pPr>
    <w:rPr>
      <w:rFonts w:cs="Times New Roman"/>
      <w:b w:val="0"/>
      <w:color w:val="auto"/>
      <w:lang w:eastAsia="en-US"/>
    </w:rPr>
  </w:style>
  <w:style w:type="table" w:styleId="a8">
    <w:name w:val="Table Grid"/>
    <w:basedOn w:val="a1"/>
    <w:uiPriority w:val="39"/>
    <w:rsid w:val="002C4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C460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semiHidden/>
    <w:rsid w:val="00EC113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EC113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aa">
    <w:name w:val="Strong"/>
    <w:uiPriority w:val="22"/>
    <w:qFormat/>
    <w:rsid w:val="00EC1133"/>
    <w:rPr>
      <w:b/>
      <w:bCs/>
    </w:rPr>
  </w:style>
  <w:style w:type="character" w:customStyle="1" w:styleId="b-cittext">
    <w:name w:val="b-cit__text"/>
    <w:rsid w:val="00E94585"/>
  </w:style>
  <w:style w:type="paragraph" w:styleId="ab">
    <w:name w:val="Balloon Text"/>
    <w:basedOn w:val="a"/>
    <w:link w:val="ac"/>
    <w:uiPriority w:val="99"/>
    <w:semiHidden/>
    <w:unhideWhenUsed/>
    <w:rsid w:val="0021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722B"/>
    <w:rPr>
      <w:rFonts w:ascii="Segoe UI" w:hAnsi="Segoe UI" w:cs="Segoe UI"/>
      <w:b/>
      <w:color w:val="000000"/>
      <w:sz w:val="18"/>
      <w:szCs w:val="18"/>
    </w:rPr>
  </w:style>
  <w:style w:type="table" w:customStyle="1" w:styleId="TableGrid1">
    <w:name w:val="TableGrid1"/>
    <w:rsid w:val="00A4612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A4612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1A7288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12">
    <w:name w:val="Обычный1"/>
    <w:rsid w:val="003A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right">
    <w:name w:val="right"/>
    <w:next w:val="12"/>
    <w:rsid w:val="003A593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ad">
    <w:name w:val="Block Text"/>
    <w:basedOn w:val="a"/>
    <w:rsid w:val="002F4E06"/>
    <w:pPr>
      <w:spacing w:after="0" w:line="240" w:lineRule="auto"/>
      <w:ind w:left="-709" w:right="609" w:firstLine="0"/>
    </w:pPr>
    <w:rPr>
      <w:rFonts w:ascii="Arial" w:eastAsia="Times New Roman" w:hAnsi="Arial" w:cs="Arial"/>
      <w:b w:val="0"/>
      <w:color w:val="000080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50EE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val="ru-RU" w:eastAsia="ru-RU"/>
    </w:rPr>
  </w:style>
  <w:style w:type="paragraph" w:styleId="ae">
    <w:name w:val="No Spacing"/>
    <w:uiPriority w:val="1"/>
    <w:qFormat/>
    <w:rsid w:val="002637A6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7344F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44F5"/>
    <w:pPr>
      <w:widowControl w:val="0"/>
      <w:shd w:val="clear" w:color="auto" w:fill="FFFFFF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31">
    <w:name w:val="Заголовок №3_"/>
    <w:basedOn w:val="a0"/>
    <w:link w:val="32"/>
    <w:rsid w:val="00C226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2260A"/>
    <w:pPr>
      <w:widowControl w:val="0"/>
      <w:shd w:val="clear" w:color="auto" w:fill="FFFFFF"/>
      <w:spacing w:after="640" w:line="240" w:lineRule="auto"/>
      <w:ind w:left="0" w:firstLine="220"/>
      <w:jc w:val="left"/>
      <w:outlineLvl w:val="2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paragraph" w:customStyle="1" w:styleId="rvps2">
    <w:name w:val="rvps2"/>
    <w:basedOn w:val="a"/>
    <w:rsid w:val="00373D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A918-49A5-41F9-B4D5-FD7D960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cp:lastPrinted>2023-06-15T12:54:00Z</cp:lastPrinted>
  <dcterms:created xsi:type="dcterms:W3CDTF">2023-10-27T07:14:00Z</dcterms:created>
  <dcterms:modified xsi:type="dcterms:W3CDTF">2024-04-17T10:48:00Z</dcterms:modified>
</cp:coreProperties>
</file>