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CF" w:rsidRDefault="00C00F93" w:rsidP="00C00F93">
      <w:pPr>
        <w:spacing w:after="0" w:line="240" w:lineRule="auto"/>
        <w:rPr>
          <w:rFonts w:ascii="Times New Roman" w:eastAsia="Times New Roman" w:hAnsi="Times New Roman" w:cs="Times New Roman"/>
          <w:i/>
          <w:color w:val="4A86E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0A3BCF" w:rsidRDefault="00C00F9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0A3BCF" w:rsidRDefault="00C00F9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тендерноїдокументації</w:t>
      </w:r>
    </w:p>
    <w:p w:rsidR="000A3BCF" w:rsidRDefault="00C00F9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A3BCF" w:rsidRDefault="00C00F93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r w:rsidR="004D1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 та інформації  для</w:t>
      </w:r>
      <w:r w:rsidR="004D1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r w:rsidR="004D1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 УЧАСНИКА  кваліфікаційним</w:t>
      </w:r>
      <w:r w:rsidR="004D1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критеріям, визначеним у статті 16 Закону “Про публічнізакупівлі”:</w:t>
      </w:r>
    </w:p>
    <w:p w:rsidR="000A3BCF" w:rsidRDefault="000A3BC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0A3BCF" w:rsidRDefault="000A3BCF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"/>
        <w:tblW w:w="10455" w:type="dxa"/>
        <w:jc w:val="center"/>
        <w:tblInd w:w="0" w:type="dxa"/>
        <w:tblLayout w:type="fixed"/>
        <w:tblLook w:val="0400"/>
      </w:tblPr>
      <w:tblGrid>
        <w:gridCol w:w="510"/>
        <w:gridCol w:w="3315"/>
        <w:gridCol w:w="6630"/>
      </w:tblGrid>
      <w:tr w:rsidR="000A3BCF">
        <w:trPr>
          <w:trHeight w:val="69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BCF" w:rsidRDefault="00C00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BCF" w:rsidRDefault="00C00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Кваліфікаційнікритерії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A3BCF" w:rsidRDefault="00C00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 та інформація, які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підтверджуютьвідповідністьУчасникакваліфікаційнимкритеріям*</w:t>
            </w:r>
          </w:p>
        </w:tc>
      </w:tr>
      <w:tr w:rsidR="000A3BCF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Pr="00C00F93" w:rsidRDefault="00C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підтвердженогодосвідувиконанняаналогічного (аналогічних) за предметом закупівлі договору (договорів)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</w:t>
            </w:r>
            <w:r w:rsidR="004D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r w:rsidR="004D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r w:rsidR="004D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 (аналогічних) за предметом закупівлі договору (договорів) Учасникмаєнадати: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</w:t>
            </w:r>
            <w:r w:rsidR="004D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A3BCF" w:rsidRPr="00C00F93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Аналогічнимвважаєтьсядоговір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за таким самим предметом Договору, та ДК згідно закупівельного словнику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.1.2. не менше 1 копії договору, зазначеного</w:t>
            </w:r>
            <w:r w:rsidR="004D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ідці</w:t>
            </w:r>
            <w:r w:rsidR="004D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r w:rsidR="004D1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обсязі,</w:t>
            </w:r>
          </w:p>
          <w:p w:rsidR="000A3BCF" w:rsidRPr="00C56F17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C00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копії/ю документів/а на </w:t>
            </w:r>
            <w:proofErr w:type="gramStart"/>
            <w:r w:rsidRPr="00C00F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0F93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00F9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 не меншеніж одного договору, зазначеного в наданійУчасникомдовідці</w:t>
            </w:r>
            <w:r w:rsidR="001361A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(видаткова накладна та/або акт приймання-передачі)</w:t>
            </w:r>
            <w:r w:rsidRPr="00C00F93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</w:tr>
      <w:tr w:rsidR="000A3BCF" w:rsidRPr="003D6C1A">
        <w:trPr>
          <w:trHeight w:val="81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Pr="00C00F93" w:rsidRDefault="00C0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Pr="001361A5" w:rsidRDefault="00C0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61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фінансової спроможності</w:t>
            </w:r>
          </w:p>
          <w:p w:rsidR="000A3BCF" w:rsidRPr="001361A5" w:rsidRDefault="000A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F17" w:rsidRPr="00C56F17" w:rsidRDefault="00C00F93" w:rsidP="00C56F17">
            <w:pPr>
              <w:pStyle w:val="TableParagraph"/>
              <w:ind w:left="108" w:right="89"/>
              <w:jc w:val="both"/>
              <w:rPr>
                <w:sz w:val="20"/>
                <w:szCs w:val="20"/>
                <w:lang w:eastAsia="uk-UA"/>
              </w:rPr>
            </w:pPr>
            <w:r w:rsidRPr="001361A5">
              <w:rPr>
                <w:sz w:val="20"/>
                <w:szCs w:val="20"/>
                <w:lang w:eastAsia="uk-UA"/>
              </w:rPr>
              <w:t xml:space="preserve">2.1. </w:t>
            </w:r>
            <w:r w:rsidR="00C56F17" w:rsidRPr="00C56F17">
              <w:rPr>
                <w:sz w:val="20"/>
                <w:szCs w:val="20"/>
              </w:rPr>
              <w:t xml:space="preserve">На підтвердження фінансової спроможності учасник повинен надати: Фінансову звітність у складі Балансу (звіту про фінансовий стан) та Звіту про фінансові результати (звіту про сукупний дохід) та звіту про рух грошових коштів, або Фінансову звітність малого підприємства в складі Балансу (форма № 1-м) і Звіту про фінансові результати (форма № 2-м) (для суб’єктів малого підприємництва – фізичних осіб та юридичних осіб), або Фінансову звітність мікропідприємства в складі Балансу (форма № 1-мс) і Звіту про фінансові результати (форма № 2-мс) (для суб'єктів малого підприємництва - юридичних осіб, які відповідають критеріям мікропідприємництва). </w:t>
            </w:r>
          </w:p>
          <w:p w:rsidR="00C56F17" w:rsidRPr="00C56F17" w:rsidRDefault="00C56F17" w:rsidP="00C5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F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звітність повинна бути надана за останній звітній період із відміткою органу статистики або сканованою квитанцію про отримання.</w:t>
            </w:r>
          </w:p>
          <w:p w:rsidR="00C56F17" w:rsidRDefault="00C56F17" w:rsidP="00C5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56F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спроможність учасника визначається відповідно до поданої фінансової звітності за колонкою 2 000 (код рядка) «Чистий дохід від реалізації продукції (товарів, робіт, послуг)» (з врахуванням ПДВ), значення якого за останній звітній період має бути у розмірі не менше 100% від очікуваної вартості закупівлі.</w:t>
            </w:r>
          </w:p>
          <w:p w:rsidR="000A3BCF" w:rsidRPr="00C56F17" w:rsidRDefault="00C56F17" w:rsidP="00C5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випадку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якщо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учасником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із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законодавчих причин не складається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звітність, він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надає лист-роз’яснення з відповідним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поясненням та посиланням на нормативні</w:t>
            </w:r>
            <w:r w:rsidR="004D1A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акти.</w:t>
            </w:r>
          </w:p>
        </w:tc>
      </w:tr>
      <w:tr w:rsidR="000A3BCF" w:rsidRPr="003D6C1A">
        <w:trPr>
          <w:trHeight w:val="815"/>
          <w:jc w:val="center"/>
        </w:trPr>
        <w:tc>
          <w:tcPr>
            <w:tcW w:w="10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Pr="003D6C1A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*У разі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участі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об’єднання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учасників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підтвердження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відповідності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кваліфікаційним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критеріям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здійснюється з урахуванням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узагальнених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об’єднаних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показників кожного учасника такого об’єднання на підставі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наданої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об’єднання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мінформації.</w:t>
            </w:r>
          </w:p>
        </w:tc>
      </w:tr>
    </w:tbl>
    <w:p w:rsidR="000A3BCF" w:rsidRPr="003D6C1A" w:rsidRDefault="000A3BC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val="uk-UA"/>
        </w:rPr>
      </w:pPr>
    </w:p>
    <w:p w:rsidR="000A3BCF" w:rsidRDefault="00C00F9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ідтвердження</w:t>
      </w:r>
      <w:r w:rsidR="004D1A8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</w:t>
      </w:r>
      <w:r w:rsidR="004D1A8A"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</w:rPr>
        <w:t>учасників як учасникапроцедури)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0A3BCF" w:rsidRDefault="00C00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 час подання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 в електронній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 будь-яких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документів, що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ьвідсутність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підстав, визначених у пункті 47 Особливостей (крім абзацу чотирнадцятогоцього пункту), крім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 таких підстав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дповідно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абзацушістнадцятого пункту 47 Особливостей.</w:t>
      </w:r>
    </w:p>
    <w:p w:rsidR="000A3BCF" w:rsidRDefault="00C00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підстав, зазначених в пункті 47 Особливостей  (крімпідпунктів 1 і 7, абзацу чотирнадцятогоцього пункту), шляхом самостійного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 таких підстав в електронній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закупівельпід час подання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пропозиції.</w:t>
      </w:r>
    </w:p>
    <w:p w:rsidR="000A3BCF" w:rsidRDefault="00C00F9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 за результатами розгляду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апроцедур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изакупі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іпідтверджує в електронній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ізакупівель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 в учасник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закупівліпідстав, визначених</w:t>
      </w:r>
      <w:r w:rsidR="004D1A8A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 1 і 7 цього пункту.</w:t>
      </w:r>
    </w:p>
    <w:p w:rsidR="000A3BCF" w:rsidRDefault="00C0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Учасник  повинен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</w:t>
      </w:r>
      <w:r w:rsidR="004D1A8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r w:rsidR="004D1A8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відсутност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ідстави для  відмови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і, що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перебуває в обставинах, зазначених у цьому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абзаці, може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заходів для доведення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надійності, незважаючи на наявність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підстави для відмови в участі у відкритих торгах. Для цьогоучасник (суб’єктгосподарювання) повинен довести, щ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відповідн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зобов’язання та відшкодування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збитків. Якщо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кепідтвердження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достатнім, учаснику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r w:rsidR="004D1A8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іне може бути відмовлено в участі в процедурізакупівлі.</w:t>
      </w:r>
    </w:p>
    <w:p w:rsidR="000A3BCF" w:rsidRPr="00C56F17" w:rsidRDefault="00C0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Якщо на момент подання</w:t>
      </w:r>
      <w:r w:rsidR="004D1A8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тендерно</w:t>
      </w:r>
      <w:r w:rsidR="004D1A8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їпропозиції</w:t>
      </w:r>
      <w:r w:rsidR="004D1A8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учасником в електронній</w:t>
      </w:r>
      <w:r w:rsidR="004D1A8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систем</w:t>
      </w:r>
      <w:r w:rsidR="004D1A8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ізакупівель</w:t>
      </w:r>
      <w:r w:rsidR="004D1A8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proofErr w:type="gramStart"/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ідтвердження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підстав, зазначених у пункті 47 Особливостей, шляхом самостійно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годекларування в електронні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йсистемі, то факт подання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r w:rsidR="00321BFA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 xml:space="preserve">відсутності таких підстав для відмовийому в участі в </w:t>
      </w:r>
      <w:proofErr w:type="gramStart"/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>торгах</w:t>
      </w:r>
      <w:proofErr w:type="gramEnd"/>
      <w:r w:rsidRPr="00C56F17">
        <w:rPr>
          <w:rFonts w:ascii="Times New Roman" w:eastAsia="Times New Roman" w:hAnsi="Times New Roman" w:cs="Times New Roman"/>
          <w:i/>
          <w:sz w:val="20"/>
          <w:szCs w:val="20"/>
        </w:rPr>
        <w:t xml:space="preserve"> за вимогами пункту 47 Особливостей.</w:t>
      </w:r>
    </w:p>
    <w:p w:rsidR="000A3BCF" w:rsidRPr="00C56F17" w:rsidRDefault="000A3B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A3BCF" w:rsidRDefault="000A3BC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A3BCF" w:rsidRDefault="00C00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Перелікдокументів та інформації  дляпідтвердженнявідповідності ПЕРЕМОЖЦЯ вимогам, визначеним </w:t>
      </w:r>
      <w:proofErr w:type="gramStart"/>
      <w:r>
        <w:rPr>
          <w:rFonts w:ascii="Times New Roman" w:eastAsia="Times New Roman" w:hAnsi="Times New Roman" w:cs="Times New Roman"/>
          <w:b/>
        </w:rPr>
        <w:t>у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пун</w:t>
      </w:r>
      <w:r>
        <w:rPr>
          <w:rFonts w:ascii="Times New Roman" w:eastAsia="Times New Roman" w:hAnsi="Times New Roman" w:cs="Times New Roman"/>
          <w:b/>
          <w:highlight w:val="white"/>
        </w:rPr>
        <w:t>кті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>Особливостей:</w:t>
      </w:r>
    </w:p>
    <w:p w:rsidR="000A3BCF" w:rsidRDefault="00C0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Переможецьпроцедуризакупівлі у строк, що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не перевищуєчотиридні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датиоприлюднення в електроннійсистемізакупівельповідомлення про намірукластидоговір про закупівлю, повинен надатизамовнику шляхом оприлюднення в електроннійсистемізакупівельдокументи, щопідтверджуютьвідсутністьпідстав, зазначених у підпунктах 3, 5, 6 і 12 та в абзацічотирнадцятому пункту 47 Особливостей. </w:t>
      </w:r>
    </w:p>
    <w:p w:rsidR="000A3BCF" w:rsidRPr="00C56F17" w:rsidRDefault="00C00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56F17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передбаченогоцією тендерною документацією та/ або Законом та/ абоОсобливостями, перебігякоговизначається з датипевноїподії, вважатиметьсянаступний за днем відповідноїподіїкалендарнийаборобочий день, залежновід того, у яких днях (календарнихчиробочих) обраховуєтьсявідповідний строк.</w:t>
      </w:r>
    </w:p>
    <w:p w:rsidR="000A3BCF" w:rsidRPr="00C56F17" w:rsidRDefault="000A3B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3BCF" w:rsidRDefault="00C00F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1"/>
        <w:tblW w:w="10200" w:type="dxa"/>
        <w:tblInd w:w="-40" w:type="dxa"/>
        <w:tblLayout w:type="fixed"/>
        <w:tblLook w:val="0400"/>
      </w:tblPr>
      <w:tblGrid>
        <w:gridCol w:w="705"/>
        <w:gridCol w:w="4470"/>
        <w:gridCol w:w="5025"/>
      </w:tblGrid>
      <w:tr w:rsidR="000A3BCF">
        <w:trPr>
          <w:trHeight w:val="100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Вимогизгідно п. 47 Особливостей</w:t>
            </w:r>
          </w:p>
          <w:p w:rsidR="000A3BCF" w:rsidRDefault="000A3BC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Переможецьторгів на виконаннявимогизгідно</w:t>
            </w:r>
          </w:p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47 Особливостей (підтвердженнявідсутностіпідстав) повинен надатитакуінформацію:</w:t>
            </w:r>
          </w:p>
        </w:tc>
      </w:tr>
      <w:tr w:rsidR="000A3BCF">
        <w:trPr>
          <w:trHeight w:val="1723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Керівникаучасникапроцедуризакупі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учасникомпроцедуризакупівлі, булопритягнутозгідноіззаконом  довідповідальності за вчиненнякорупційногоправопорушенняабоправопорушення, пов’язаного з корупцією.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Перевіряєтьсябезпосередньозамовникомсамостійно, крімвипадків, коли доступ до такоїінформації є обмеженим*.</w:t>
            </w:r>
          </w:p>
          <w:p w:rsidR="000A3BCF" w:rsidRDefault="00C00F9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питаньзапобіганнякорупції (НАЗК) відкрило доступ до Реєструосіб, які вчинили корупційні та пов’язані з корупцієюправопорушення, з урахуваннямбезпековихаспектів. Протезгідно з постановою КМУ від 12.03.2022 р. № 263, яка застосовується до припиненнячискасуваннявоєнного стану, інформаційні, інформаційно-комунікаційні та електроннікомунікаційнісистеми, публічніелектронніреєстриможуть як зупиняти, обмежуватисвою роботу, так і відкриватись, поновлюватись у періодвоєнного стану.</w:t>
            </w:r>
          </w:p>
          <w:p w:rsidR="000A3BCF" w:rsidRDefault="00C00F93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Таким чином у разіякщоінформаційні, інформаційно-комунікаційні та електроннікомунікаційнісистеми, публічніелектронніреєстрибудутьзупиненіабо, обмежать свою роботу, то інформаційнадовідка з Єдиного державного реєструосіб, які вчинили корупційніабопов’язані з корупцієюправопорушення, згідно з якою не буде знайденоінформації про корупційніабопов'язані з корупцієюправопорушення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процедуризакупівлі,навиконання абзацу 15 пункту 47 Особливостейнадаєтьсяпереможцемторгів.</w:t>
            </w:r>
          </w:p>
        </w:tc>
      </w:tr>
      <w:tr w:rsidR="000A3BCF">
        <w:trPr>
          <w:trHeight w:val="215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Керівникучасникапроцедуризакупівлібувзасуджений за кримінальнеправопорушення, вчинене з корисливихмотивів (зокрема, пов’язане з хабарництвом, шахрайством та відмиваннямкоштів), судимість з якого не знятоабо не погашено в установленому законом порядку.</w:t>
            </w:r>
          </w:p>
          <w:p w:rsidR="000A3BCF" w:rsidRDefault="00C00F9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6 пункт 47 Особливостей)</w:t>
            </w:r>
          </w:p>
        </w:tc>
        <w:tc>
          <w:tcPr>
            <w:tcW w:w="5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Повнийвитяг з інформаційно-аналітичноїсистеми «Обліквідомостей про притягнення особи до кримінальноївідповідальності та наявностісудимості» сформований у паперовійабоелектроннійформі, щоміститьінформацію про відсутністьсудимостіабообмежень, передбаченихкримінальнимпроцесуальнимзаконодавствомУкраїнищодокерівникаучасникапроцедуризакупівлі.</w:t>
            </w:r>
          </w:p>
          <w:p w:rsidR="000A3BCF" w:rsidRDefault="000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BCF">
        <w:trPr>
          <w:trHeight w:val="2010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Керівникаучасникапроцедуризакупівлі, фізичну особу, яка є учасникомпроцедуризакупівлі, булопритягнутозгідноіз законом до відповідальності за вчиненняправопорушення, пов’язаного з використаннямдитячоїпрацічи будь-якими формами торгівлі людьми.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50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0A3BC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3BCF">
        <w:trPr>
          <w:trHeight w:val="3982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Учасникпроцедуризакупівлі не виконавсвоїзобов’язання за ранішеукладеним договором про закупівлю з цим самим замовником, щопризвело до йогодостроковогорозірвання, і булозастосованосанкції у виглядіштрафів та/абовідшкодуваннязбитків — протягомтрьохроків з датидостроковогорозірвання такого договору. Учасникпроцедуризакупівлі, щоперебуває в обставинах, зазначених у цьомуабзаці, моженадатипідтвердженнявжиттязаходів для доведеннясвоєїнадійності, незважаючи на наявністьвідповідноїпідстави для відмови в участі у відкритих торгах.  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міститьінформацію про те, щоміжпереможцем та замовникомраніше не булоукладенодоговорів, або про те, щопереможецьпроцедуризакупівлівиконавсвоїзобов’язання за ранішеукладениміззамовником договором про закупівлю, відповідно, підстав, щопризвели б до йогодостроковогорозірвання і до застосуваннясанкції у виглядіштрафів та/абовідшкодуваннязбитків, не було, абодовідка з інформацією про те, щовіннадавпідтвердженнявжиттязаходів для доведеннясвоєїнадійності, незважаючи на наявністьвідповідноїпідстави для відмови в участі у відкритих торгах (для цьогопереможець (суб’єктгосподарювання) повинен довести, щовінсплативабозобов’язавсясплатитивідповіднізобов’язання та відшкодуваннязавданихзбитків. </w:t>
            </w:r>
          </w:p>
        </w:tc>
      </w:tr>
    </w:tbl>
    <w:p w:rsidR="000A3BCF" w:rsidRDefault="000A3B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3BCF" w:rsidRDefault="00C00F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3.2. Документи, якінадаються ПЕРЕМОЖЦЕМ (фізичною особою чифізичною особою — підприємцем):</w:t>
      </w:r>
    </w:p>
    <w:tbl>
      <w:tblPr>
        <w:tblStyle w:val="af2"/>
        <w:tblW w:w="10185" w:type="dxa"/>
        <w:tblInd w:w="-25" w:type="dxa"/>
        <w:tblLayout w:type="fixed"/>
        <w:tblLook w:val="0400"/>
      </w:tblPr>
      <w:tblGrid>
        <w:gridCol w:w="615"/>
        <w:gridCol w:w="4575"/>
        <w:gridCol w:w="4995"/>
      </w:tblGrid>
      <w:tr w:rsidR="000A3BCF">
        <w:trPr>
          <w:trHeight w:val="8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0A3BC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Вимогизгідно пункту 47 Особливостей</w:t>
            </w:r>
          </w:p>
          <w:p w:rsidR="000A3BCF" w:rsidRDefault="000A3BC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Переможецьторгів на виконаннявимогизгідно пункту 47 Особливостей (підтвердженнявідсутностіпідстав) повинен надатитакуінформацію:</w:t>
            </w:r>
          </w:p>
        </w:tc>
      </w:tr>
      <w:tr w:rsidR="000A3BCF">
        <w:trPr>
          <w:trHeight w:val="1723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аучасника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закупівлі, було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 за вчинення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правопорушення, пов’язаного з корупцією.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3 пункт 47 Особливостей)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самостійно, крім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випадків, коли доступ до такої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 є обмеженим*.</w:t>
            </w:r>
          </w:p>
          <w:p w:rsidR="000A3BCF" w:rsidRDefault="00C00F93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 (НАЗК) відкрило доступ до Реєстру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осіб, які вчинили корупційні та пов’язані з корупцією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правопорушення, з урахуванням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аспектів. Протезгідно з постановою КМУ від 12.03.2022 р. № 263, яка застосовується до припинення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 стану, інформаційні, інформаційно-комунікаційні та електронні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системи, публічні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 як зупиняти, обмежувати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 стану.</w:t>
            </w:r>
          </w:p>
          <w:p w:rsidR="000A3BCF" w:rsidRDefault="00C00F9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інформаційні, інформаційно-комунікаційні та електронні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системи,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публічні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або, обмежать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то інформаційна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 з Єдиного державного реєстру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осіб, які вчинили корупційні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опов’язані з корупцією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правопорушення, згідно з якою не буде знайдено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 про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корупційні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 з корупцією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</w:t>
            </w:r>
            <w:r w:rsidR="004D1A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навиконання абзацу 15 пункту 47 Особливостей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r w:rsidR="00E608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торгів.</w:t>
            </w:r>
          </w:p>
        </w:tc>
      </w:tr>
      <w:tr w:rsidR="000A3BCF">
        <w:trPr>
          <w:trHeight w:val="2152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</w:rPr>
              <w:t>булла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 за кримінальне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правопорушення, вчинене з корисливих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 (зокрема, пов’язане з хабарництвом та відмиванням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коштів), судимість з якої не знято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 не погашено в установленому законом порядку.</w:t>
            </w:r>
          </w:p>
          <w:p w:rsidR="000A3BCF" w:rsidRDefault="00C00F9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5 пункт 47 Особливостей)</w:t>
            </w:r>
          </w:p>
        </w:tc>
        <w:tc>
          <w:tcPr>
            <w:tcW w:w="49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 з інформаційно-аналітичної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 про притягнення особи до кримінальної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 та наявності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судимості» сформований у паперовій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формі, що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 про відсутність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обмежень, передбачених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 особи, яка є учасником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r w:rsidR="00E608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закупівлі. </w:t>
            </w:r>
          </w:p>
          <w:p w:rsidR="000A3BCF" w:rsidRDefault="000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3BCF">
        <w:trPr>
          <w:trHeight w:val="163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закупівлі, було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 законом до відповідальності за вчинення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правопорушення, пов’язаного з використанням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 будь-якими формами торгівлі людьми.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 47 Особливостей)</w:t>
            </w:r>
          </w:p>
        </w:tc>
        <w:tc>
          <w:tcPr>
            <w:tcW w:w="499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0A3BC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BCF">
        <w:trPr>
          <w:trHeight w:val="416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 за раніше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 договором про закупівлю з цим самим замовником, щопризвело до його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розірвання, і було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 у вигляді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 та/або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 — протягом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 з дати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 такого договору. Учасник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 в обставинах, зазначених у цьому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абзаці, може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 для доведення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надійності, незважаючи на наявність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підстави для відмови в участі у відкритих торгах.  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 Особливостей)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</w:t>
            </w:r>
            <w:r w:rsidR="003D6C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 про те, 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 та замовником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 не було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договорів, або про те, 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 за раніше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 договором про закупівлю, відповідно, підстав, 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 б до його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 і до застосування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 у вигляді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 та/або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збитків, не було, 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 з інформацією про те, 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</w:rPr>
              <w:t>наддав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 для доведення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надійності, незважаючи на наявність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 для відмови в участі у відкритих торгах (для цього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 (суб’єкт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 та відшкодування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r w:rsidR="00E608D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збитків. </w:t>
            </w:r>
          </w:p>
        </w:tc>
      </w:tr>
    </w:tbl>
    <w:p w:rsidR="000A3BCF" w:rsidRDefault="000A3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3BCF" w:rsidRDefault="00C0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A3BCF" w:rsidRDefault="00C00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Інша</w:t>
      </w:r>
      <w:r w:rsidR="003D6C1A"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</w:rPr>
        <w:t>інформація, встановлена</w:t>
      </w:r>
      <w:r w:rsidR="003D6C1A"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</w:rPr>
        <w:t>відповідно до законодавс</w:t>
      </w:r>
      <w:r>
        <w:rPr>
          <w:rFonts w:ascii="Times New Roman" w:eastAsia="Times New Roman" w:hAnsi="Times New Roman" w:cs="Times New Roman"/>
          <w:b/>
          <w:color w:val="000000"/>
        </w:rPr>
        <w:t xml:space="preserve">тва (для УЧАСНИКІВ </w:t>
      </w:r>
      <w:proofErr w:type="gramStart"/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>ю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ридичних</w:t>
      </w:r>
      <w:r w:rsidR="003D6C1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осіб, фізичних</w:t>
      </w:r>
      <w:r w:rsidR="003D6C1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осіб та фізичних</w:t>
      </w:r>
      <w:r w:rsidR="003D6C1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осіб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</w:rPr>
        <w:t>підприємців)</w:t>
      </w:r>
      <w:r>
        <w:rPr>
          <w:rFonts w:ascii="Times New Roman" w:eastAsia="Times New Roman" w:hAnsi="Times New Roman" w:cs="Times New Roman"/>
          <w:b/>
        </w:rPr>
        <w:t>:</w:t>
      </w:r>
    </w:p>
    <w:p w:rsidR="000A3BCF" w:rsidRDefault="000A3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3"/>
        <w:tblW w:w="10290" w:type="dxa"/>
        <w:tblInd w:w="-100" w:type="dxa"/>
        <w:tblLayout w:type="fixed"/>
        <w:tblLook w:val="0400"/>
      </w:tblPr>
      <w:tblGrid>
        <w:gridCol w:w="405"/>
        <w:gridCol w:w="9885"/>
      </w:tblGrid>
      <w:tr w:rsidR="000A3BCF">
        <w:trPr>
          <w:trHeight w:val="124"/>
        </w:trPr>
        <w:tc>
          <w:tcPr>
            <w:tcW w:w="10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r w:rsidR="003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r w:rsidR="003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r w:rsidR="003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Учасника:</w:t>
            </w:r>
          </w:p>
        </w:tc>
      </w:tr>
      <w:tr w:rsidR="000A3BCF">
        <w:trPr>
          <w:trHeight w:val="80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 не керівником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осіб, фізичних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формувань, а іншою особою, учасник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 на таку особу.</w:t>
            </w:r>
          </w:p>
        </w:tc>
      </w:tr>
      <w:tr w:rsidR="000A3BCF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r w:rsidR="003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 у вигляді</w:t>
            </w:r>
            <w:r w:rsidR="003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r w:rsidR="003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r w:rsidR="003D6C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 про наявність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 документа дозвільного характеру на провадження виду господарської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діяльності, якщо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 на провадження такого виду діяльності</w:t>
            </w:r>
            <w:r w:rsidR="003D6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формиучасник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чину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іцензію</w:t>
            </w:r>
            <w:r w:rsidR="003D6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 документ дозвільного характеру.</w:t>
            </w:r>
          </w:p>
          <w:p w:rsidR="000A3BCF" w:rsidRDefault="00C00F93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(Надається</w:t>
            </w:r>
            <w:r w:rsid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якщо</w:t>
            </w:r>
            <w:r w:rsid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отримання</w:t>
            </w:r>
            <w:r w:rsid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дозволу</w:t>
            </w:r>
            <w:r w:rsid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ліцензії на провадження такого виду господарської</w:t>
            </w:r>
            <w:r w:rsid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діяльності</w:t>
            </w:r>
            <w:r w:rsidR="003D6C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передбачено законом).</w:t>
            </w:r>
          </w:p>
        </w:tc>
      </w:tr>
      <w:tr w:rsidR="000A3BCF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ових дій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власник, член 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(акціонер), 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 в статутному капіталі 10 і більше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 (далі - активи), є громадянином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 / Республіки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Білорусь/ </w:t>
            </w:r>
            <w:r w:rsidRPr="00C56F17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r w:rsidR="003D6C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r w:rsidRPr="00C56F17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r w:rsidR="003D6C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r w:rsidRPr="00C56F17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r w:rsidRPr="00C56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 на території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 на законних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A3BCF" w:rsidRDefault="00C0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військовий квиток, виданий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іноземцю, який в установленому порядку уклав контракт про проходження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військовоїслужби у Збройних Силах України, Державній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 транспорту 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 документ, щопідтверджує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 в Україн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громади, 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місцепроживання (перебування) особи разом з посвідкою на тимчасове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 на постійне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учасника в 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установленному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 порядку передані в управління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 агентству з питань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виявлення, розшуку та управління активами, одержаними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відкорупційних та інших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судді, суду, щодо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власника, щодо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 агентством з питань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виявлення, розшуку та управління активами одержаними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 та інших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України, щодо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 активами, на які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r w:rsidR="003D6C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 у кримінальномупровадженні.</w:t>
            </w:r>
          </w:p>
        </w:tc>
      </w:tr>
    </w:tbl>
    <w:p w:rsidR="000A3BCF" w:rsidRDefault="000A3B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A3BCF" w:rsidSect="00A575EE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305"/>
    <w:multiLevelType w:val="multilevel"/>
    <w:tmpl w:val="0276B2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3AB7305"/>
    <w:multiLevelType w:val="multilevel"/>
    <w:tmpl w:val="89760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CF422B1"/>
    <w:multiLevelType w:val="multilevel"/>
    <w:tmpl w:val="2DE635D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C8474A3"/>
    <w:multiLevelType w:val="multilevel"/>
    <w:tmpl w:val="E370D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FE65063"/>
    <w:multiLevelType w:val="multilevel"/>
    <w:tmpl w:val="6AAA8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87574E3"/>
    <w:multiLevelType w:val="multilevel"/>
    <w:tmpl w:val="1422B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0A3BCF"/>
    <w:rsid w:val="000A3BCF"/>
    <w:rsid w:val="001361A5"/>
    <w:rsid w:val="00321BFA"/>
    <w:rsid w:val="003D6C1A"/>
    <w:rsid w:val="004D1A8A"/>
    <w:rsid w:val="00A575EE"/>
    <w:rsid w:val="00C00F93"/>
    <w:rsid w:val="00C56F17"/>
    <w:rsid w:val="00E608D5"/>
    <w:rsid w:val="00FB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E"/>
  </w:style>
  <w:style w:type="paragraph" w:styleId="1">
    <w:name w:val="heading 1"/>
    <w:basedOn w:val="a"/>
    <w:next w:val="a"/>
    <w:rsid w:val="00A575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575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575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575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575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575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7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575E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57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A575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A575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A575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00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BPCZp+mzm9EmldT+dxv06o37TQ==">CgMxLjA4AHIhMUF1NUJyM2NaeXFyaEVZNll0QlJTcTNlT1NiVnVCd0pz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2024-04-02T11:32:00Z</dcterms:created>
  <dcterms:modified xsi:type="dcterms:W3CDTF">2024-04-17T07:23:00Z</dcterms:modified>
</cp:coreProperties>
</file>