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Pr>
          <w:rFonts w:ascii="Times New Roman" w:eastAsia="Times New Roman" w:hAnsi="Times New Roman" w:cs="Times New Roman"/>
          <w:b/>
          <w:bCs/>
          <w:sz w:val="24"/>
          <w:szCs w:val="24"/>
          <w:lang w:val="en-US"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12.10.2023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6CC975F4" w:rsidR="00262AB2" w:rsidRPr="00745FFD" w:rsidRDefault="00262AB2" w:rsidP="00921A30">
      <w:pPr>
        <w:pStyle w:val="Default"/>
        <w:ind w:firstLine="708"/>
        <w:jc w:val="both"/>
      </w:pPr>
      <w:r w:rsidRPr="00745FFD">
        <w:t xml:space="preserve">1.1. </w:t>
      </w:r>
      <w:proofErr w:type="spellStart"/>
      <w:r w:rsidRPr="00745FFD">
        <w:t>Постачальник</w:t>
      </w:r>
      <w:proofErr w:type="spellEnd"/>
      <w:r w:rsidRPr="00745FFD">
        <w:t xml:space="preserve"> </w:t>
      </w:r>
      <w:proofErr w:type="spellStart"/>
      <w:r w:rsidRPr="00745FFD">
        <w:t>зобов'язується</w:t>
      </w:r>
      <w:proofErr w:type="spellEnd"/>
      <w:r w:rsidRPr="00745FFD">
        <w:t xml:space="preserve"> у 202</w:t>
      </w:r>
      <w:r w:rsidR="000678DA">
        <w:rPr>
          <w:lang w:val="uk-UA"/>
        </w:rPr>
        <w:t>4</w:t>
      </w:r>
      <w:r w:rsidRPr="00745FFD">
        <w:t xml:space="preserve"> </w:t>
      </w:r>
      <w:proofErr w:type="spellStart"/>
      <w:r w:rsidRPr="00745FFD">
        <w:t>році</w:t>
      </w:r>
      <w:proofErr w:type="spellEnd"/>
      <w:r w:rsidRPr="00745FFD">
        <w:t xml:space="preserve"> </w:t>
      </w:r>
      <w:proofErr w:type="spellStart"/>
      <w:r w:rsidRPr="00745FFD">
        <w:t>поставити</w:t>
      </w:r>
      <w:proofErr w:type="spellEnd"/>
      <w:r w:rsidRPr="00745FFD">
        <w:t xml:space="preserve"> </w:t>
      </w:r>
      <w:proofErr w:type="spellStart"/>
      <w:r w:rsidRPr="00745FFD">
        <w:t>Замовнику</w:t>
      </w:r>
      <w:proofErr w:type="spellEnd"/>
      <w:r w:rsidRPr="00745FFD">
        <w:t xml:space="preserve"> товар – </w:t>
      </w:r>
      <w:r w:rsidRPr="00745FFD">
        <w:rPr>
          <w:b/>
        </w:rPr>
        <w:t xml:space="preserve">за кодом </w:t>
      </w:r>
      <w:r w:rsidRPr="00745FFD">
        <w:rPr>
          <w:b/>
          <w:lang w:eastAsia="zh-CN"/>
        </w:rPr>
        <w:t xml:space="preserve">ДК </w:t>
      </w:r>
      <w:r w:rsidRPr="000678DA">
        <w:rPr>
          <w:b/>
          <w:lang w:eastAsia="zh-CN"/>
        </w:rPr>
        <w:t xml:space="preserve">021:2015 </w:t>
      </w:r>
      <w:r w:rsidR="000678DA" w:rsidRPr="000678DA">
        <w:rPr>
          <w:rFonts w:ascii="Arial" w:hAnsi="Arial" w:cs="Arial"/>
          <w:b/>
          <w:sz w:val="21"/>
          <w:szCs w:val="21"/>
          <w:bdr w:val="none" w:sz="0" w:space="0" w:color="auto" w:frame="1"/>
          <w:shd w:val="clear" w:color="auto" w:fill="FDFEFD"/>
        </w:rPr>
        <w:t>15110000-2</w:t>
      </w:r>
      <w:r w:rsidR="000678DA" w:rsidRPr="000678DA">
        <w:rPr>
          <w:rFonts w:ascii="Arial" w:hAnsi="Arial" w:cs="Arial"/>
          <w:b/>
          <w:sz w:val="21"/>
          <w:szCs w:val="21"/>
          <w:shd w:val="clear" w:color="auto" w:fill="FDFEFD"/>
        </w:rPr>
        <w:t> - </w:t>
      </w:r>
      <w:proofErr w:type="spellStart"/>
      <w:r w:rsidR="000678DA" w:rsidRPr="000678DA">
        <w:rPr>
          <w:rFonts w:ascii="Arial" w:hAnsi="Arial" w:cs="Arial"/>
          <w:b/>
          <w:sz w:val="21"/>
          <w:szCs w:val="21"/>
          <w:bdr w:val="none" w:sz="0" w:space="0" w:color="auto" w:frame="1"/>
          <w:shd w:val="clear" w:color="auto" w:fill="FDFEFD"/>
        </w:rPr>
        <w:t>М’ясо</w:t>
      </w:r>
      <w:proofErr w:type="spellEnd"/>
      <w:r w:rsidR="000678DA" w:rsidRPr="00745FFD">
        <w:t xml:space="preserve"> </w:t>
      </w:r>
      <w:r w:rsidRPr="00745FFD">
        <w:t>(</w:t>
      </w:r>
      <w:proofErr w:type="spellStart"/>
      <w:r w:rsidRPr="00745FFD">
        <w:t>надалі</w:t>
      </w:r>
      <w:proofErr w:type="spellEnd"/>
      <w:r w:rsidRPr="00745FFD">
        <w:t xml:space="preserve"> – Товар) в </w:t>
      </w:r>
      <w:proofErr w:type="spellStart"/>
      <w:r w:rsidRPr="00745FFD">
        <w:t>асортименті</w:t>
      </w:r>
      <w:proofErr w:type="spellEnd"/>
      <w:r w:rsidRPr="00745FFD">
        <w:t xml:space="preserve"> та по </w:t>
      </w:r>
      <w:proofErr w:type="spellStart"/>
      <w:r w:rsidRPr="00745FFD">
        <w:t>ціні</w:t>
      </w:r>
      <w:proofErr w:type="spellEnd"/>
      <w:r w:rsidRPr="00745FFD">
        <w:t xml:space="preserve">, </w:t>
      </w:r>
      <w:proofErr w:type="spellStart"/>
      <w:r w:rsidRPr="00745FFD">
        <w:t>відповідно</w:t>
      </w:r>
      <w:proofErr w:type="spellEnd"/>
      <w:r w:rsidRPr="00745FFD">
        <w:t xml:space="preserve"> до </w:t>
      </w:r>
      <w:proofErr w:type="spellStart"/>
      <w:r w:rsidRPr="00745FFD">
        <w:t>специфікації</w:t>
      </w:r>
      <w:proofErr w:type="spellEnd"/>
      <w:r w:rsidRPr="00745FFD">
        <w:t xml:space="preserve"> - </w:t>
      </w:r>
      <w:proofErr w:type="spellStart"/>
      <w:r w:rsidRPr="00745FFD">
        <w:t>додатку</w:t>
      </w:r>
      <w:proofErr w:type="spellEnd"/>
      <w:r w:rsidRPr="00745FFD">
        <w:t xml:space="preserve"> №1, 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2023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7DC45AF6"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без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4BDC"/>
    <w:rsid w:val="0057094A"/>
    <w:rsid w:val="005A4B17"/>
    <w:rsid w:val="005D7714"/>
    <w:rsid w:val="005E0BF3"/>
    <w:rsid w:val="005F3486"/>
    <w:rsid w:val="005F3953"/>
    <w:rsid w:val="00623F85"/>
    <w:rsid w:val="00631E0D"/>
    <w:rsid w:val="00637943"/>
    <w:rsid w:val="00676065"/>
    <w:rsid w:val="006772AA"/>
    <w:rsid w:val="006775A9"/>
    <w:rsid w:val="006911B7"/>
    <w:rsid w:val="006A7205"/>
    <w:rsid w:val="006B51CA"/>
    <w:rsid w:val="006D5BC3"/>
    <w:rsid w:val="006E7DBC"/>
    <w:rsid w:val="00702469"/>
    <w:rsid w:val="00707A18"/>
    <w:rsid w:val="00723857"/>
    <w:rsid w:val="00732CEC"/>
    <w:rsid w:val="00745FFD"/>
    <w:rsid w:val="007E6D65"/>
    <w:rsid w:val="00823134"/>
    <w:rsid w:val="008451C0"/>
    <w:rsid w:val="00856D7B"/>
    <w:rsid w:val="008630D4"/>
    <w:rsid w:val="008B0082"/>
    <w:rsid w:val="008C197D"/>
    <w:rsid w:val="008C2424"/>
    <w:rsid w:val="008F6A95"/>
    <w:rsid w:val="0091043D"/>
    <w:rsid w:val="00921A30"/>
    <w:rsid w:val="009422AA"/>
    <w:rsid w:val="00971A6D"/>
    <w:rsid w:val="009858D0"/>
    <w:rsid w:val="009B3C96"/>
    <w:rsid w:val="009F1543"/>
    <w:rsid w:val="00A26EC3"/>
    <w:rsid w:val="00A605C0"/>
    <w:rsid w:val="00AB5AF5"/>
    <w:rsid w:val="00AD5363"/>
    <w:rsid w:val="00AE090C"/>
    <w:rsid w:val="00B67087"/>
    <w:rsid w:val="00B8156A"/>
    <w:rsid w:val="00BA77F4"/>
    <w:rsid w:val="00BB5CED"/>
    <w:rsid w:val="00BE348F"/>
    <w:rsid w:val="00C143C9"/>
    <w:rsid w:val="00C274EB"/>
    <w:rsid w:val="00CE1028"/>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2</cp:revision>
  <cp:lastPrinted>2024-01-01T09:31:00Z</cp:lastPrinted>
  <dcterms:created xsi:type="dcterms:W3CDTF">2024-01-01T09:34:00Z</dcterms:created>
  <dcterms:modified xsi:type="dcterms:W3CDTF">2024-01-01T09:34:00Z</dcterms:modified>
</cp:coreProperties>
</file>