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9F" w:rsidRDefault="00EA459F" w:rsidP="00EA459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Додаток№ 3</w:t>
      </w:r>
    </w:p>
    <w:p w:rsidR="00EA459F" w:rsidRDefault="00EA459F" w:rsidP="00EA459F">
      <w:pPr>
        <w:pStyle w:val="Standard"/>
        <w:tabs>
          <w:tab w:val="left" w:pos="691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До тендерної        документації</w:t>
      </w:r>
    </w:p>
    <w:p w:rsidR="00EA459F" w:rsidRDefault="00EA459F" w:rsidP="00EA459F">
      <w:pPr>
        <w:pStyle w:val="Standard"/>
        <w:jc w:val="center"/>
        <w:rPr>
          <w:b/>
          <w:bCs/>
        </w:rPr>
      </w:pPr>
    </w:p>
    <w:p w:rsidR="00EA459F" w:rsidRDefault="00EA459F" w:rsidP="00EA459F">
      <w:pPr>
        <w:pStyle w:val="Standard"/>
        <w:jc w:val="center"/>
        <w:rPr>
          <w:b/>
          <w:bCs/>
        </w:rPr>
      </w:pPr>
      <w:r>
        <w:rPr>
          <w:b/>
          <w:bCs/>
        </w:rPr>
        <w:t>ЯКІСНІ ТА КІЛЬКІСНІ ХАРАКТЕРИСТИКИ</w:t>
      </w:r>
    </w:p>
    <w:p w:rsidR="00EA459F" w:rsidRDefault="00EA459F" w:rsidP="00EA459F">
      <w:pPr>
        <w:pStyle w:val="Standard"/>
        <w:jc w:val="center"/>
      </w:pPr>
      <w:r>
        <w:rPr>
          <w:b/>
          <w:bCs/>
        </w:rPr>
        <w:t>ОПИС ТА ОСНОВНІ ВИМОГИ ДО ПРЕДМЕТУ ЗАКУПІВЛІ</w:t>
      </w:r>
    </w:p>
    <w:p w:rsidR="00EA459F" w:rsidRDefault="00EA459F" w:rsidP="00EA459F">
      <w:pPr>
        <w:pStyle w:val="Standard"/>
        <w:jc w:val="center"/>
        <w:rPr>
          <w:b/>
          <w:bCs/>
        </w:rPr>
      </w:pPr>
      <w:r>
        <w:rPr>
          <w:b/>
          <w:bCs/>
        </w:rPr>
        <w:t>ТЕХНІЧНА СПЕЦИФІКАЦІЯ</w:t>
      </w:r>
    </w:p>
    <w:p w:rsidR="00EA459F" w:rsidRDefault="00EA459F" w:rsidP="00EA459F">
      <w:pPr>
        <w:pStyle w:val="Standard"/>
        <w:jc w:val="center"/>
      </w:pPr>
    </w:p>
    <w:p w:rsidR="00EA459F" w:rsidRDefault="00EA459F" w:rsidP="00EA459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459F">
        <w:rPr>
          <w:rFonts w:ascii="Times New Roman" w:hAnsi="Times New Roman"/>
          <w:b/>
          <w:sz w:val="24"/>
          <w:szCs w:val="24"/>
          <w:lang w:val="uk-UA"/>
        </w:rPr>
        <w:t xml:space="preserve">Лабораторні реактиви </w:t>
      </w:r>
    </w:p>
    <w:p w:rsidR="00EA459F" w:rsidRPr="00EA459F" w:rsidRDefault="00EA459F" w:rsidP="00EA459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459F">
        <w:rPr>
          <w:rFonts w:ascii="Times New Roman" w:hAnsi="Times New Roman"/>
          <w:b/>
          <w:sz w:val="24"/>
          <w:szCs w:val="24"/>
          <w:lang w:val="uk-UA"/>
        </w:rPr>
        <w:t>ДК 021-2015 (</w:t>
      </w:r>
      <w:r w:rsidRPr="00EA459F">
        <w:rPr>
          <w:rFonts w:ascii="Times New Roman" w:hAnsi="Times New Roman"/>
          <w:b/>
          <w:sz w:val="24"/>
          <w:szCs w:val="24"/>
        </w:rPr>
        <w:t>CPV</w:t>
      </w:r>
      <w:r w:rsidRPr="00EA459F">
        <w:rPr>
          <w:rFonts w:ascii="Times New Roman" w:hAnsi="Times New Roman"/>
          <w:b/>
          <w:sz w:val="24"/>
          <w:szCs w:val="24"/>
          <w:lang w:val="uk-UA"/>
        </w:rPr>
        <w:t>) 33690000-3 Лікарські засоби різні ДК 021-2015 33696000-5 Реактиви та контрастні речовини</w:t>
      </w:r>
    </w:p>
    <w:p w:rsidR="00DB6621" w:rsidRPr="00DB6621" w:rsidRDefault="00DB6621" w:rsidP="00DB662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54313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Прокальцитонін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IVD(діагностика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in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vitro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),набір,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імунофлюоресцентнний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аналіз</w:t>
      </w:r>
    </w:p>
    <w:p w:rsidR="00DB6621" w:rsidRPr="00DB6621" w:rsidRDefault="00DB6621" w:rsidP="00DB662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54010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Тропонін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I IVD(діагностика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in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vitro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),набір,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флюоресцентний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імуноаналіз</w:t>
      </w:r>
      <w:proofErr w:type="spellEnd"/>
    </w:p>
    <w:p w:rsidR="00DB6621" w:rsidRPr="00DB6621" w:rsidRDefault="00DB6621" w:rsidP="00DB662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>61389 D-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димер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IVD (діагностика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in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vitro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), набір,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імунофлюоресцентний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аналіз</w:t>
      </w:r>
    </w:p>
    <w:p w:rsidR="00DB6621" w:rsidRPr="00DB6621" w:rsidRDefault="00DB6621" w:rsidP="00DB6621">
      <w:pPr>
        <w:spacing w:after="0"/>
        <w:rPr>
          <w:rFonts w:ascii="Times New Roman" w:hAnsi="Times New Roman"/>
          <w:b/>
          <w:sz w:val="24"/>
          <w:szCs w:val="24"/>
        </w:rPr>
      </w:pPr>
      <w:r w:rsidRPr="00DB6621">
        <w:rPr>
          <w:rFonts w:ascii="Times New Roman" w:hAnsi="Times New Roman"/>
          <w:b/>
          <w:sz w:val="24"/>
          <w:szCs w:val="24"/>
        </w:rPr>
        <w:t xml:space="preserve"> 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>47869</w:t>
      </w:r>
      <w:r w:rsidRPr="00DB6621">
        <w:rPr>
          <w:rFonts w:ascii="Times New Roman" w:hAnsi="Times New Roman"/>
          <w:b/>
          <w:sz w:val="24"/>
          <w:szCs w:val="24"/>
        </w:rPr>
        <w:t xml:space="preserve">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Множинні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аналіти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клінічної хімії IVD, контрольний матеріал</w:t>
      </w:r>
    </w:p>
    <w:p w:rsidR="00DB6621" w:rsidRPr="00DB6621" w:rsidRDefault="00DB6621" w:rsidP="00DB662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DB662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54519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>Кетони сечі IVD, набір, колориметрична тест-смужка, експрес-аналіз</w:t>
      </w:r>
    </w:p>
    <w:p w:rsidR="00DB6621" w:rsidRPr="00DB6621" w:rsidRDefault="00DB6621" w:rsidP="00DB662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>54315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Прокальцитонін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IVD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(діагностика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in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vitro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),</w:t>
      </w:r>
      <w:r w:rsidRPr="00DB6621">
        <w:rPr>
          <w:rFonts w:ascii="Times New Roman" w:hAnsi="Times New Roman"/>
          <w:b/>
          <w:sz w:val="24"/>
          <w:szCs w:val="24"/>
        </w:rPr>
        <w:t xml:space="preserve">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>контрольний матеріал</w:t>
      </w:r>
    </w:p>
    <w:p w:rsidR="00DB6621" w:rsidRPr="00DB6621" w:rsidRDefault="00DB6621" w:rsidP="00DB662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DB6621">
        <w:rPr>
          <w:rFonts w:ascii="Times New Roman" w:hAnsi="Times New Roman"/>
          <w:b/>
          <w:sz w:val="24"/>
          <w:szCs w:val="24"/>
        </w:rPr>
        <w:t xml:space="preserve"> 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>47347</w:t>
      </w:r>
      <w:r w:rsidRPr="00DB6621">
        <w:rPr>
          <w:rFonts w:ascii="Times New Roman" w:hAnsi="Times New Roman"/>
          <w:b/>
          <w:sz w:val="24"/>
          <w:szCs w:val="24"/>
        </w:rPr>
        <w:t xml:space="preserve">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>D-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димер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IVD</w:t>
      </w:r>
      <w:r w:rsidRPr="00DB6621">
        <w:rPr>
          <w:rFonts w:ascii="Times New Roman" w:hAnsi="Times New Roman"/>
          <w:b/>
          <w:sz w:val="24"/>
          <w:szCs w:val="24"/>
        </w:rPr>
        <w:t xml:space="preserve">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діагностикаin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vitro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), контрольний</w:t>
      </w:r>
      <w:r w:rsidRPr="00DB6621">
        <w:rPr>
          <w:rFonts w:ascii="Times New Roman" w:hAnsi="Times New Roman"/>
          <w:b/>
          <w:sz w:val="24"/>
          <w:szCs w:val="24"/>
        </w:rPr>
        <w:t xml:space="preserve">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>матеріал</w:t>
      </w:r>
    </w:p>
    <w:p w:rsidR="00FC44EB" w:rsidRPr="00DB6621" w:rsidRDefault="00DB6621" w:rsidP="00DB662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DB6621">
        <w:rPr>
          <w:rFonts w:ascii="Times New Roman" w:hAnsi="Times New Roman"/>
          <w:b/>
          <w:sz w:val="24"/>
          <w:szCs w:val="24"/>
        </w:rPr>
        <w:t xml:space="preserve"> 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>54012</w:t>
      </w:r>
      <w:r w:rsidRPr="00DB66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Тропонін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I IVD</w:t>
      </w:r>
      <w:r w:rsidRPr="00DB6621">
        <w:rPr>
          <w:rFonts w:ascii="Times New Roman" w:hAnsi="Times New Roman"/>
          <w:b/>
          <w:sz w:val="24"/>
          <w:szCs w:val="24"/>
        </w:rPr>
        <w:t xml:space="preserve">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(діагностика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in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B6621">
        <w:rPr>
          <w:rFonts w:ascii="Times New Roman" w:hAnsi="Times New Roman"/>
          <w:b/>
          <w:sz w:val="24"/>
          <w:szCs w:val="24"/>
          <w:lang w:val="uk-UA"/>
        </w:rPr>
        <w:t>vitro</w:t>
      </w:r>
      <w:proofErr w:type="spellEnd"/>
      <w:r w:rsidRPr="00DB6621">
        <w:rPr>
          <w:rFonts w:ascii="Times New Roman" w:hAnsi="Times New Roman"/>
          <w:b/>
          <w:sz w:val="24"/>
          <w:szCs w:val="24"/>
          <w:lang w:val="uk-UA"/>
        </w:rPr>
        <w:t xml:space="preserve"> ),</w:t>
      </w:r>
      <w:r w:rsidRPr="00DB6621">
        <w:rPr>
          <w:rFonts w:ascii="Times New Roman" w:hAnsi="Times New Roman"/>
          <w:b/>
          <w:sz w:val="24"/>
          <w:szCs w:val="24"/>
        </w:rPr>
        <w:t xml:space="preserve"> </w:t>
      </w:r>
      <w:r w:rsidRPr="00DB6621">
        <w:rPr>
          <w:rFonts w:ascii="Times New Roman" w:hAnsi="Times New Roman"/>
          <w:b/>
          <w:sz w:val="24"/>
          <w:szCs w:val="24"/>
          <w:lang w:val="uk-UA"/>
        </w:rPr>
        <w:t>контрольний матеріал</w:t>
      </w:r>
    </w:p>
    <w:tbl>
      <w:tblPr>
        <w:tblW w:w="131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4678"/>
        <w:gridCol w:w="992"/>
        <w:gridCol w:w="851"/>
        <w:gridCol w:w="1276"/>
        <w:gridCol w:w="1276"/>
      </w:tblGrid>
      <w:tr w:rsidR="004F549A" w:rsidRPr="00ED689A" w:rsidTr="00D7109C">
        <w:trPr>
          <w:gridAfter w:val="2"/>
          <w:wAfter w:w="2552" w:type="dxa"/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9A" w:rsidRPr="00ED689A" w:rsidRDefault="004F549A" w:rsidP="004B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8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9A" w:rsidRPr="00ED689A" w:rsidRDefault="004F549A" w:rsidP="004B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8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9A" w:rsidRPr="00ED689A" w:rsidRDefault="002D5244" w:rsidP="004B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84466">
              <w:rPr>
                <w:rFonts w:ascii="Times New Roman" w:hAnsi="Times New Roman"/>
                <w:b/>
                <w:bCs/>
                <w:sz w:val="18"/>
                <w:szCs w:val="18"/>
              </w:rPr>
              <w:t>Код за  НК 024:2023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9A" w:rsidRPr="00ED689A" w:rsidRDefault="004F549A" w:rsidP="004B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8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Медико-</w:t>
            </w:r>
            <w:proofErr w:type="spellStart"/>
            <w:r w:rsidRPr="00ED68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технічні</w:t>
            </w:r>
            <w:proofErr w:type="spellEnd"/>
            <w:r w:rsidRPr="00ED68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8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вимоги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9A" w:rsidRPr="00ED689A" w:rsidRDefault="004F549A" w:rsidP="004B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68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Од. </w:t>
            </w:r>
            <w:proofErr w:type="spellStart"/>
            <w:r w:rsidRPr="00ED68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вим</w:t>
            </w:r>
            <w:proofErr w:type="spellEnd"/>
            <w:r w:rsidRPr="00ED68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49A" w:rsidRPr="00ED689A" w:rsidRDefault="004F549A" w:rsidP="004B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68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040AA7" w:rsidRPr="00ED689A" w:rsidTr="00D7109C">
        <w:trPr>
          <w:gridAfter w:val="2"/>
          <w:wAfter w:w="2552" w:type="dxa"/>
          <w:trHeight w:val="18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A7" w:rsidRPr="00040AA7" w:rsidRDefault="00040AA7" w:rsidP="00EB298B">
            <w:pPr>
              <w:spacing w:after="0" w:line="240" w:lineRule="auto"/>
              <w:ind w:left="-129" w:firstLine="1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A7" w:rsidRPr="00A63599" w:rsidRDefault="002D5244" w:rsidP="00286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Набір</w:t>
            </w:r>
            <w:proofErr w:type="spellEnd"/>
            <w:r w:rsidRPr="00A6359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визначення</w:t>
            </w:r>
            <w:proofErr w:type="spellEnd"/>
            <w:r w:rsidRPr="00A63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прокальцитоні</w:t>
            </w:r>
            <w:proofErr w:type="spellEnd"/>
            <w:r w:rsidR="00480274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A63599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44" w:rsidRPr="00A63599" w:rsidRDefault="002D5244" w:rsidP="00286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99">
              <w:rPr>
                <w:rFonts w:ascii="Times New Roman" w:hAnsi="Times New Roman"/>
                <w:sz w:val="20"/>
                <w:szCs w:val="20"/>
              </w:rPr>
              <w:t>54313</w:t>
            </w:r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Прокальцитонін</w:t>
            </w:r>
            <w:proofErr w:type="spellEnd"/>
            <w:r w:rsidRPr="00A63599">
              <w:rPr>
                <w:rFonts w:ascii="Times New Roman" w:hAnsi="Times New Roman"/>
                <w:sz w:val="20"/>
                <w:szCs w:val="20"/>
              </w:rPr>
              <w:t xml:space="preserve"> IVD(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діагностика</w:t>
            </w:r>
            <w:proofErr w:type="spellEnd"/>
            <w:r w:rsidRPr="00A63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="00633A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B6621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A63599">
              <w:rPr>
                <w:rFonts w:ascii="Times New Roman" w:hAnsi="Times New Roman"/>
                <w:sz w:val="20"/>
                <w:szCs w:val="20"/>
              </w:rPr>
              <w:t>),</w:t>
            </w:r>
            <w:r w:rsid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набі</w:t>
            </w:r>
            <w:proofErr w:type="gramStart"/>
            <w:r w:rsidRPr="00A6359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63599">
              <w:rPr>
                <w:rFonts w:ascii="Times New Roman" w:hAnsi="Times New Roman"/>
                <w:sz w:val="20"/>
                <w:szCs w:val="20"/>
              </w:rPr>
              <w:t>,імунофлюоресцентнний</w:t>
            </w:r>
            <w:proofErr w:type="spellEnd"/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аналіз</w:t>
            </w:r>
            <w:proofErr w:type="spellEnd"/>
          </w:p>
          <w:p w:rsidR="00040AA7" w:rsidRPr="00A63599" w:rsidRDefault="00040AA7" w:rsidP="00286A5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A7" w:rsidRPr="00A63599" w:rsidRDefault="002D5244" w:rsidP="00286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Набір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повинен бути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придатним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кількісного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визначення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вмісту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прокальцитоніну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сироватці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плазмі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або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цільній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крові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. Кількість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тестів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наборі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: 25. Метод: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імунофлуоресценція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Набір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повинен бути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призначеним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використання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аналізатором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FA50.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A7" w:rsidRPr="00A63599" w:rsidRDefault="00040AA7" w:rsidP="00286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A7" w:rsidRPr="00A63599" w:rsidRDefault="00AC06B8" w:rsidP="004B6A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040AA7" w:rsidRPr="00ED689A" w:rsidTr="00D7109C">
        <w:trPr>
          <w:gridAfter w:val="2"/>
          <w:wAfter w:w="2552" w:type="dxa"/>
          <w:trHeight w:val="1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A7" w:rsidRPr="00040AA7" w:rsidRDefault="00040AA7" w:rsidP="00EB2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A7" w:rsidRPr="00A63599" w:rsidRDefault="00040AA7" w:rsidP="00286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99">
              <w:rPr>
                <w:rStyle w:val="2Tahoma9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Набір для визначення </w:t>
            </w:r>
            <w:proofErr w:type="spellStart"/>
            <w:r w:rsidRPr="00A63599">
              <w:rPr>
                <w:rStyle w:val="2Tahoma9pt"/>
                <w:rFonts w:ascii="Times New Roman" w:hAnsi="Times New Roman" w:cs="Times New Roman"/>
                <w:sz w:val="20"/>
                <w:szCs w:val="20"/>
                <w:lang w:bidi="en-US"/>
              </w:rPr>
              <w:t>Тропоніну</w:t>
            </w:r>
            <w:proofErr w:type="spellEnd"/>
            <w:r w:rsidRPr="00A63599">
              <w:rPr>
                <w:rStyle w:val="2Tahoma9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63599">
              <w:rPr>
                <w:rStyle w:val="2Tahoma9pt"/>
                <w:rFonts w:ascii="Times New Roman" w:hAnsi="Times New Roman" w:cs="Times New Roman"/>
                <w:sz w:val="20"/>
                <w:szCs w:val="20"/>
                <w:lang w:val="en-US" w:bidi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44" w:rsidRPr="00A63599" w:rsidRDefault="002D5244" w:rsidP="00286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5244" w:rsidRPr="00A63599" w:rsidRDefault="002D5244" w:rsidP="00286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99">
              <w:rPr>
                <w:rFonts w:ascii="Times New Roman" w:hAnsi="Times New Roman"/>
                <w:sz w:val="20"/>
                <w:szCs w:val="20"/>
              </w:rPr>
              <w:t>54010</w:t>
            </w:r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Тропонін</w:t>
            </w:r>
            <w:proofErr w:type="spellEnd"/>
            <w:r w:rsidRPr="00A63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59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63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599">
              <w:rPr>
                <w:rFonts w:ascii="Times New Roman" w:hAnsi="Times New Roman"/>
                <w:sz w:val="20"/>
                <w:szCs w:val="20"/>
                <w:lang w:val="en-US"/>
              </w:rPr>
              <w:t>IVD</w:t>
            </w:r>
            <w:r w:rsidRPr="00A6359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діагн</w:t>
            </w:r>
            <w:proofErr w:type="spellEnd"/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>ости</w:t>
            </w:r>
            <w:r w:rsidRPr="00A63599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r w:rsidRPr="00A63599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A63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599">
              <w:rPr>
                <w:rFonts w:ascii="Times New Roman" w:hAnsi="Times New Roman"/>
                <w:sz w:val="20"/>
                <w:szCs w:val="20"/>
                <w:lang w:val="en-US"/>
              </w:rPr>
              <w:t>vitro</w:t>
            </w:r>
            <w:r w:rsidRPr="00A63599">
              <w:rPr>
                <w:rFonts w:ascii="Times New Roman" w:hAnsi="Times New Roman"/>
                <w:sz w:val="20"/>
                <w:szCs w:val="20"/>
              </w:rPr>
              <w:t>),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набі</w:t>
            </w:r>
            <w:proofErr w:type="gramStart"/>
            <w:r w:rsidRPr="00A6359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635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флюоресцентний</w:t>
            </w:r>
            <w:proofErr w:type="spellEnd"/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імуноаналіз</w:t>
            </w:r>
            <w:proofErr w:type="spellEnd"/>
          </w:p>
          <w:p w:rsidR="00040AA7" w:rsidRPr="00A63599" w:rsidRDefault="00040AA7" w:rsidP="00286A5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44" w:rsidRPr="00A63599" w:rsidRDefault="002D5244" w:rsidP="00286A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Набір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повинен бути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придатним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кількісного</w:t>
            </w:r>
            <w:proofErr w:type="spellEnd"/>
          </w:p>
          <w:p w:rsidR="002D5244" w:rsidRPr="00A63599" w:rsidRDefault="002D5244" w:rsidP="00286A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визначення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вмісту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серцевого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тропоніну I в</w:t>
            </w:r>
          </w:p>
          <w:p w:rsidR="00040AA7" w:rsidRPr="00A63599" w:rsidRDefault="002D5244" w:rsidP="00286A5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сироватці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плазмі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або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цільній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крові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. Кількість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тестів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у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наборі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: 25. Метод: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імунофлуоресценція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Набір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повинен бути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призначеним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використання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з</w:t>
            </w:r>
            <w:r w:rsidRPr="00A6359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аналізатором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FA50.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A7" w:rsidRPr="00A63599" w:rsidRDefault="00040AA7" w:rsidP="00286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A7" w:rsidRPr="00A63599" w:rsidRDefault="00AC06B8" w:rsidP="004B6AF1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040AA7" w:rsidRPr="00ED689A" w:rsidTr="00DB6621">
        <w:trPr>
          <w:gridAfter w:val="2"/>
          <w:wAfter w:w="2552" w:type="dxa"/>
          <w:trHeight w:val="1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A7" w:rsidRPr="00AC06B8" w:rsidRDefault="00AC06B8" w:rsidP="00EB2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A7" w:rsidRPr="00A63599" w:rsidRDefault="00040AA7" w:rsidP="00286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3599">
              <w:rPr>
                <w:rStyle w:val="2Tahoma9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Набір для визначення </w:t>
            </w:r>
            <w:proofErr w:type="spellStart"/>
            <w:r w:rsidRPr="00A63599">
              <w:rPr>
                <w:rStyle w:val="2Tahoma9pt"/>
                <w:rFonts w:ascii="Times New Roman" w:hAnsi="Times New Roman" w:cs="Times New Roman"/>
                <w:sz w:val="20"/>
                <w:szCs w:val="20"/>
                <w:lang w:bidi="en-US"/>
              </w:rPr>
              <w:t>Д-димеру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77" w:rsidRDefault="00633A77" w:rsidP="00286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63599" w:rsidRPr="00286A5C" w:rsidRDefault="00A63599" w:rsidP="00286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>61389</w:t>
            </w:r>
            <w:r w:rsidR="00286A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63599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>-димер</w:t>
            </w:r>
            <w:proofErr w:type="spellEnd"/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63599">
              <w:rPr>
                <w:rFonts w:ascii="Times New Roman" w:hAnsi="Times New Roman"/>
                <w:sz w:val="20"/>
                <w:szCs w:val="20"/>
              </w:rPr>
              <w:t>IVD</w:t>
            </w:r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(діагностика</w:t>
            </w:r>
            <w:r w:rsidR="00286A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>), набір,</w:t>
            </w:r>
            <w:r w:rsidR="00286A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6A5C">
              <w:rPr>
                <w:rFonts w:ascii="Times New Roman" w:hAnsi="Times New Roman"/>
                <w:sz w:val="20"/>
                <w:szCs w:val="20"/>
                <w:lang w:val="uk-UA"/>
              </w:rPr>
              <w:t>імунофлюоресцен</w:t>
            </w:r>
            <w:r w:rsidR="00286A5C">
              <w:rPr>
                <w:rFonts w:ascii="Times New Roman" w:hAnsi="Times New Roman"/>
                <w:sz w:val="20"/>
                <w:szCs w:val="20"/>
                <w:lang w:val="uk-UA"/>
              </w:rPr>
              <w:t>тн</w:t>
            </w:r>
            <w:r w:rsidRPr="00286A5C">
              <w:rPr>
                <w:rFonts w:ascii="Times New Roman" w:hAnsi="Times New Roman"/>
                <w:sz w:val="20"/>
                <w:szCs w:val="20"/>
                <w:lang w:val="uk-UA"/>
              </w:rPr>
              <w:t>ий</w:t>
            </w:r>
            <w:proofErr w:type="spellEnd"/>
            <w:r w:rsidR="00286A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86A5C">
              <w:rPr>
                <w:rFonts w:ascii="Times New Roman" w:hAnsi="Times New Roman"/>
                <w:sz w:val="20"/>
                <w:szCs w:val="20"/>
                <w:lang w:val="uk-UA"/>
              </w:rPr>
              <w:t>аналіз</w:t>
            </w:r>
          </w:p>
          <w:p w:rsidR="00040AA7" w:rsidRPr="00286A5C" w:rsidRDefault="00040AA7" w:rsidP="00286A5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A7" w:rsidRPr="00A63599" w:rsidRDefault="00A63599" w:rsidP="00286A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Набір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повинен бути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придатним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кількісного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визначення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вмісту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Д-димеру в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плазмі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або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цільній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крові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. Кількість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тестів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наборі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: 25. Метод: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імунофлуоресценція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Набір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повинен бути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призначеним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використання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>аналізатором</w:t>
            </w:r>
            <w:proofErr w:type="spellEnd"/>
            <w:r w:rsidRPr="00A63599">
              <w:rPr>
                <w:rFonts w:ascii="Times New Roman" w:hAnsi="Times New Roman"/>
                <w:bCs/>
                <w:sz w:val="20"/>
                <w:szCs w:val="20"/>
              </w:rPr>
              <w:t xml:space="preserve"> FA50.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A7" w:rsidRPr="00A63599" w:rsidRDefault="00040AA7" w:rsidP="00286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599">
              <w:rPr>
                <w:rFonts w:ascii="Times New Roman" w:hAnsi="Times New Roman"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A7" w:rsidRPr="00A63599" w:rsidRDefault="00AC06B8" w:rsidP="004B6AF1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040AA7" w:rsidRPr="00ED689A" w:rsidTr="00D7109C">
        <w:trPr>
          <w:trHeight w:val="26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AA7" w:rsidRPr="00040AA7" w:rsidRDefault="00AC06B8" w:rsidP="00EB2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A7" w:rsidRPr="0011717B" w:rsidRDefault="00040AA7" w:rsidP="00286A5C">
            <w:pPr>
              <w:spacing w:line="240" w:lineRule="auto"/>
              <w:jc w:val="center"/>
              <w:rPr>
                <w:rStyle w:val="2Tahoma9pt"/>
                <w:rFonts w:ascii="Times New Roman" w:hAnsi="Times New Roman" w:cs="Times New Roman"/>
                <w:sz w:val="20"/>
                <w:szCs w:val="20"/>
              </w:rPr>
            </w:pPr>
            <w:r w:rsidRPr="0011717B">
              <w:rPr>
                <w:rFonts w:ascii="Times New Roman" w:hAnsi="Times New Roman"/>
                <w:sz w:val="20"/>
                <w:szCs w:val="20"/>
                <w:lang w:val="uk-UA"/>
              </w:rPr>
              <w:t>Контрольна сироватка норма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A7" w:rsidRPr="0011717B" w:rsidRDefault="00040AA7" w:rsidP="00286A5C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717B">
              <w:rPr>
                <w:rFonts w:ascii="Times New Roman" w:hAnsi="Times New Roman"/>
                <w:sz w:val="20"/>
                <w:szCs w:val="20"/>
                <w:lang w:val="uk-UA"/>
              </w:rPr>
              <w:t>47869</w:t>
            </w:r>
          </w:p>
          <w:p w:rsidR="00040AA7" w:rsidRPr="0011717B" w:rsidRDefault="00040AA7" w:rsidP="00286A5C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1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Множинні </w:t>
            </w:r>
            <w:proofErr w:type="spellStart"/>
            <w:r w:rsidRPr="0011717B">
              <w:rPr>
                <w:rFonts w:ascii="Times New Roman" w:hAnsi="Times New Roman"/>
                <w:sz w:val="20"/>
                <w:szCs w:val="20"/>
                <w:lang w:val="uk-UA"/>
              </w:rPr>
              <w:t>аналіти</w:t>
            </w:r>
            <w:proofErr w:type="spellEnd"/>
            <w:r w:rsidRPr="001171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клінічної хімії IVD, контрольний матеріал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A7" w:rsidRPr="0011717B" w:rsidRDefault="00040AA7" w:rsidP="00286A5C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717B">
              <w:rPr>
                <w:rFonts w:ascii="Times New Roman" w:hAnsi="Times New Roman"/>
                <w:sz w:val="20"/>
                <w:szCs w:val="20"/>
                <w:lang w:val="uk-UA"/>
              </w:rPr>
              <w:t>Фасування: R1: 4х5 мл</w:t>
            </w:r>
          </w:p>
          <w:p w:rsidR="00040AA7" w:rsidRPr="0011717B" w:rsidRDefault="00040AA7" w:rsidP="00286A5C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1717B">
              <w:rPr>
                <w:rFonts w:ascii="Times New Roman" w:hAnsi="Times New Roman"/>
                <w:sz w:val="20"/>
                <w:szCs w:val="20"/>
                <w:lang w:val="uk-UA"/>
              </w:rPr>
              <w:t>Ліофілізована</w:t>
            </w:r>
            <w:proofErr w:type="spellEnd"/>
            <w:r w:rsidRPr="001171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сироватка людського походження, яка призначена для контролю вимірювань вмісту неорганічних, органічних і ферментативних компонентів, які в загальному знаходяться в межах норми. Розраховані цільові значення повинні бути результатом випробувань, проведених на автоматичних аналізаторах, а також ручними методами.</w:t>
            </w:r>
          </w:p>
          <w:p w:rsidR="00040AA7" w:rsidRPr="0011717B" w:rsidRDefault="00040AA7" w:rsidP="00286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1171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Реагенти мають бути придатними до кінця терміну придатності зазначеного на упаковці при </w:t>
            </w:r>
            <w:r w:rsidRPr="0011717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температурі зберігання 2 - 8°C.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A7" w:rsidRPr="0011717B" w:rsidRDefault="00040AA7" w:rsidP="00286A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717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набір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A7" w:rsidRPr="0011717B" w:rsidRDefault="001A3133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717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040AA7" w:rsidRDefault="00040AA7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40AA7" w:rsidRDefault="00040AA7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40AA7" w:rsidRDefault="00040AA7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40AA7" w:rsidRDefault="00040AA7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40AA7" w:rsidRDefault="00040AA7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40AA7" w:rsidRDefault="00040AA7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40AA7" w:rsidRDefault="00040AA7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40AA7" w:rsidRPr="00142B88" w:rsidRDefault="00040AA7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</w:t>
            </w:r>
          </w:p>
        </w:tc>
        <w:tc>
          <w:tcPr>
            <w:tcW w:w="1276" w:type="dxa"/>
          </w:tcPr>
          <w:p w:rsidR="00040AA7" w:rsidRDefault="00040AA7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40AA7" w:rsidRPr="00C47B90" w:rsidRDefault="00040AA7" w:rsidP="005F5A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40AA7" w:rsidRPr="00C47B90" w:rsidRDefault="00040AA7" w:rsidP="005F5A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40AA7" w:rsidRPr="00C47B90" w:rsidRDefault="00040AA7" w:rsidP="005F5A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40AA7" w:rsidRDefault="00040AA7" w:rsidP="005F5A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40AA7" w:rsidRPr="00C47B90" w:rsidRDefault="00040AA7" w:rsidP="005F5A7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1 000,00</w:t>
            </w:r>
          </w:p>
        </w:tc>
      </w:tr>
      <w:tr w:rsidR="00AC06B8" w:rsidRPr="00AC06B8" w:rsidTr="00D32EBF">
        <w:trPr>
          <w:trHeight w:val="28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6B8" w:rsidRDefault="00AC06B8" w:rsidP="00EB2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8" w:rsidRPr="00DB6621" w:rsidRDefault="00030C2F" w:rsidP="00DB66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Кетофан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8" w:rsidRPr="00DB6621" w:rsidRDefault="00030C2F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Hlk157431030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54519</w:t>
            </w:r>
            <w:r w:rsidRPr="00DB6621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Кетони сечі IVD, набір, колориметрична тест-смужка, експрес-аналіз</w:t>
            </w:r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2F" w:rsidRPr="00DB6621" w:rsidRDefault="00030C2F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Діагностичні тест-смужки призначені для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напівкількісного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аналізу сечі. Діагностичні тест-смужки призначені тільки для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vitro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діагностики. </w:t>
            </w:r>
          </w:p>
          <w:p w:rsidR="00030C2F" w:rsidRPr="00DB6621" w:rsidRDefault="00030C2F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Фасування: не менше 50 шт./пак. </w:t>
            </w:r>
          </w:p>
          <w:p w:rsidR="00030C2F" w:rsidRPr="00DB6621" w:rsidRDefault="00030C2F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Тест-смужки для визначення один показники сечі (кетони) </w:t>
            </w:r>
          </w:p>
          <w:p w:rsidR="00030C2F" w:rsidRPr="00DB6621" w:rsidRDefault="00030C2F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Концентрації робочого реагенту:  Кетони: натрію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нітропрусид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4,9%; </w:t>
            </w:r>
          </w:p>
          <w:p w:rsidR="00030C2F" w:rsidRPr="00DB6621" w:rsidRDefault="00030C2F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Концентрації робочого реагенту:  </w:t>
            </w:r>
          </w:p>
          <w:p w:rsidR="00AC06B8" w:rsidRPr="00DB6621" w:rsidRDefault="00030C2F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Кетони: натрію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нітропрусид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4,9%;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6B8" w:rsidRPr="00DB6621" w:rsidRDefault="00030C2F" w:rsidP="00DB66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B8" w:rsidRPr="00DB6621" w:rsidRDefault="00D32EBF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AC06B8" w:rsidRDefault="00AC06B8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C06B8" w:rsidRDefault="00AC06B8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6C82" w:rsidRPr="00AC06B8" w:rsidTr="00D32EBF">
        <w:trPr>
          <w:trHeight w:val="28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C82" w:rsidRDefault="00AB4E6A" w:rsidP="00EB2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6A" w:rsidRPr="00DB6621" w:rsidRDefault="00AB4E6A" w:rsidP="00DB66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Контроль якості</w:t>
            </w:r>
          </w:p>
          <w:p w:rsidR="00076C82" w:rsidRPr="00DB6621" w:rsidRDefault="00AB4E6A" w:rsidP="00DB66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прокальцитоніну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6A" w:rsidRPr="00DB6621" w:rsidRDefault="00AB4E6A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" w:name="_Hlk157431065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54315</w:t>
            </w:r>
          </w:p>
          <w:p w:rsidR="00AB4E6A" w:rsidRPr="00DB6621" w:rsidRDefault="00AB4E6A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Прокальцитонін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IVD</w:t>
            </w:r>
          </w:p>
          <w:p w:rsidR="00AB4E6A" w:rsidRPr="00DB6621" w:rsidRDefault="00AB4E6A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(діагностика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vitro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),</w:t>
            </w:r>
          </w:p>
          <w:p w:rsidR="00076C82" w:rsidRPr="00DB6621" w:rsidRDefault="00AB4E6A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контрольний матеріал</w:t>
            </w:r>
            <w:bookmarkEnd w:id="1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6A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Контрольний матеріал повинен бути призначений для</w:t>
            </w:r>
            <w:r w:rsid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контролю якості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прокальцитоніну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кількісному</w:t>
            </w:r>
            <w:r w:rsid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імунофлуоресцентному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аналізаторі, та містити</w:t>
            </w:r>
            <w:r w:rsid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рекомбінантний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білок PCT. Фасування: 2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фл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. по 1 мл.</w:t>
            </w:r>
          </w:p>
          <w:p w:rsidR="00076C82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Контроль якості повинен залишатися стабільним</w:t>
            </w:r>
            <w:r w:rsid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протягом 12 місяців при зберіганні від -25 до 8℃.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82" w:rsidRPr="00DB6621" w:rsidRDefault="00AB4E6A" w:rsidP="00DB66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C82" w:rsidRPr="00DB6621" w:rsidRDefault="00AB4E6A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076C82" w:rsidRDefault="00076C82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76C82" w:rsidRDefault="00076C82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6C82" w:rsidRPr="00AC06B8" w:rsidTr="00D32EBF">
        <w:trPr>
          <w:trHeight w:val="28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C82" w:rsidRDefault="00AB4E6A" w:rsidP="00EB2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6A" w:rsidRPr="00DB6621" w:rsidRDefault="00AB4E6A" w:rsidP="00DB66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Контроль якості</w:t>
            </w:r>
          </w:p>
          <w:p w:rsidR="00076C82" w:rsidRPr="00DB6621" w:rsidRDefault="00AB4E6A" w:rsidP="00DB66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Д-димеру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6A" w:rsidRPr="00DB6621" w:rsidRDefault="00AB4E6A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" w:name="_Hlk157431125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47347</w:t>
            </w:r>
          </w:p>
          <w:p w:rsidR="00AB4E6A" w:rsidRPr="00DB6621" w:rsidRDefault="00AB4E6A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D-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димер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IVD</w:t>
            </w:r>
          </w:p>
          <w:p w:rsidR="00AB4E6A" w:rsidRPr="00DB6621" w:rsidRDefault="00AB4E6A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(діагностика</w:t>
            </w:r>
          </w:p>
          <w:p w:rsidR="00AB4E6A" w:rsidRPr="00DB6621" w:rsidRDefault="00AB4E6A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vitro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), контрольний</w:t>
            </w:r>
          </w:p>
          <w:p w:rsidR="00076C82" w:rsidRPr="00DB6621" w:rsidRDefault="00AB4E6A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матеріал</w:t>
            </w:r>
            <w:bookmarkEnd w:id="2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6A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Контрольний матеріал повинен бути призначений для</w:t>
            </w:r>
          </w:p>
          <w:p w:rsidR="00AB4E6A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контролю якості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Д-димеру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кількісному</w:t>
            </w:r>
          </w:p>
          <w:p w:rsidR="00AB4E6A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імунофлуоресцентному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аналізаторі, та містити</w:t>
            </w:r>
          </w:p>
          <w:p w:rsidR="00AB4E6A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рекомбінантний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білок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Д-димеру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Фасування: 2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фл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. по</w:t>
            </w:r>
          </w:p>
          <w:p w:rsidR="00AB4E6A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0,5 мл. Контроль якості повинен залишатися</w:t>
            </w:r>
          </w:p>
          <w:p w:rsidR="00AB4E6A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стабільним протягом 12 місяців при зберіганні від -25</w:t>
            </w:r>
          </w:p>
          <w:p w:rsidR="00076C82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до 8℃.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82" w:rsidRPr="00DB6621" w:rsidRDefault="00AB4E6A" w:rsidP="00DB66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C82" w:rsidRPr="00DB6621" w:rsidRDefault="00AB4E6A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076C82" w:rsidRDefault="00076C82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76C82" w:rsidRDefault="00076C82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76C82" w:rsidRPr="00AC06B8" w:rsidTr="00D32EBF">
        <w:trPr>
          <w:trHeight w:val="28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C82" w:rsidRDefault="00AB4E6A" w:rsidP="00EB2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6A" w:rsidRPr="00DB6621" w:rsidRDefault="00AB4E6A" w:rsidP="00DB66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Контроль якості</w:t>
            </w:r>
          </w:p>
          <w:p w:rsidR="00076C82" w:rsidRPr="00DB6621" w:rsidRDefault="00AB4E6A" w:rsidP="00DB66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cTnI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6A" w:rsidRPr="00DB6621" w:rsidRDefault="00AB4E6A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" w:name="_Hlk157431184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54012</w:t>
            </w:r>
          </w:p>
          <w:p w:rsidR="00AB4E6A" w:rsidRPr="00DB6621" w:rsidRDefault="00AB4E6A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Тропонін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I IVD</w:t>
            </w:r>
          </w:p>
          <w:p w:rsidR="00AB4E6A" w:rsidRPr="00DB6621" w:rsidRDefault="00AB4E6A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(діагностика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in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vitro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),</w:t>
            </w:r>
          </w:p>
          <w:p w:rsidR="00076C82" w:rsidRPr="00DB6621" w:rsidRDefault="00AB4E6A" w:rsidP="00DB662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контрольний матеріал</w:t>
            </w:r>
            <w:bookmarkEnd w:id="3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6A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Контрольний матеріал повинен бути призначений для</w:t>
            </w:r>
          </w:p>
          <w:p w:rsidR="00AB4E6A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контролю якості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cTnI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кількісному</w:t>
            </w:r>
          </w:p>
          <w:p w:rsidR="00AB4E6A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імунофлуоресцентному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аналізаторі, та містити</w:t>
            </w:r>
          </w:p>
          <w:p w:rsidR="00AB4E6A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рекомбінантний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білок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cTnI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Фасування: 2 </w:t>
            </w:r>
            <w:proofErr w:type="spellStart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фл</w:t>
            </w:r>
            <w:proofErr w:type="spellEnd"/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. по 0,5 мл.</w:t>
            </w:r>
          </w:p>
          <w:p w:rsidR="00AB4E6A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Контроль якості повинен залишатися стабільним</w:t>
            </w:r>
          </w:p>
          <w:p w:rsidR="00076C82" w:rsidRPr="00DB6621" w:rsidRDefault="00AB4E6A" w:rsidP="00DB662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протягом 12 місяців при зберіганні від -25 до 8℃.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82" w:rsidRPr="00DB6621" w:rsidRDefault="00AB4E6A" w:rsidP="00DB66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C82" w:rsidRPr="00DB6621" w:rsidRDefault="00AB4E6A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662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076C82" w:rsidRDefault="00076C82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76C82" w:rsidRDefault="00076C82" w:rsidP="005F5A7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782CBE" w:rsidRDefault="00782CBE" w:rsidP="009A19DE">
      <w:pPr>
        <w:spacing w:after="160" w:line="254" w:lineRule="auto"/>
        <w:rPr>
          <w:rFonts w:ascii="Times New Roman" w:hAnsi="Times New Roman"/>
          <w:sz w:val="20"/>
          <w:szCs w:val="20"/>
          <w:lang w:val="uk-UA"/>
        </w:rPr>
      </w:pPr>
    </w:p>
    <w:p w:rsidR="009A19DE" w:rsidRPr="009A19DE" w:rsidRDefault="00782CBE" w:rsidP="00782CBE">
      <w:pPr>
        <w:spacing w:after="0" w:line="254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1.</w:t>
      </w:r>
      <w:r w:rsidR="009A19DE" w:rsidRPr="009A19DE">
        <w:rPr>
          <w:rFonts w:ascii="Times New Roman" w:hAnsi="Times New Roman"/>
          <w:sz w:val="20"/>
          <w:szCs w:val="20"/>
          <w:lang w:val="uk-UA"/>
        </w:rPr>
        <w:t xml:space="preserve">Товар повинен бути належним чином зареєстрований в Україні або дозволеним для введення в обіг та/або експлуатацію (застосування) відповідно до законодавства. Ця вимога підтверджується: </w:t>
      </w:r>
      <w:r w:rsidR="00CE78F5">
        <w:rPr>
          <w:rFonts w:ascii="Times New Roman" w:hAnsi="Times New Roman"/>
          <w:sz w:val="20"/>
          <w:szCs w:val="20"/>
          <w:lang w:val="uk-UA"/>
        </w:rPr>
        <w:t xml:space="preserve">оригіналом або копією </w:t>
      </w:r>
      <w:r>
        <w:rPr>
          <w:rFonts w:ascii="Times New Roman" w:hAnsi="Times New Roman"/>
          <w:sz w:val="20"/>
          <w:szCs w:val="20"/>
          <w:lang w:val="uk-UA"/>
        </w:rPr>
        <w:t>декларації</w:t>
      </w:r>
      <w:r w:rsidR="009A19DE" w:rsidRPr="009A19DE">
        <w:rPr>
          <w:rFonts w:ascii="Times New Roman" w:hAnsi="Times New Roman"/>
          <w:sz w:val="20"/>
          <w:szCs w:val="20"/>
          <w:lang w:val="uk-UA"/>
        </w:rPr>
        <w:t xml:space="preserve"> або документами, що підтверджують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</w:t>
      </w:r>
      <w:r w:rsidR="003A752E"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4" w:name="_GoBack"/>
      <w:bookmarkEnd w:id="4"/>
      <w:r w:rsidR="009A19DE" w:rsidRPr="009A19DE">
        <w:rPr>
          <w:rFonts w:ascii="Times New Roman" w:hAnsi="Times New Roman"/>
          <w:sz w:val="20"/>
          <w:szCs w:val="20"/>
          <w:lang w:val="uk-UA"/>
        </w:rPr>
        <w:t xml:space="preserve">(з урахуванням вимог Постанови КМУ від № 753 «Про затвердження Технічного регламенту щодо медичних виробів» або Постанови КМУ від 02.10.2013 р. N 754 "Про затвердження Технічного регламенту щодо медичних виробів для діагностики </w:t>
      </w:r>
      <w:proofErr w:type="spellStart"/>
      <w:r w:rsidR="009A19DE" w:rsidRPr="009A19DE">
        <w:rPr>
          <w:rFonts w:ascii="Times New Roman" w:hAnsi="Times New Roman"/>
          <w:sz w:val="20"/>
          <w:szCs w:val="20"/>
          <w:lang w:val="uk-UA"/>
        </w:rPr>
        <w:t>in</w:t>
      </w:r>
      <w:proofErr w:type="spellEnd"/>
      <w:r w:rsidR="009A19DE" w:rsidRPr="009A19DE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9A19DE" w:rsidRPr="009A19DE">
        <w:rPr>
          <w:rFonts w:ascii="Times New Roman" w:hAnsi="Times New Roman"/>
          <w:sz w:val="20"/>
          <w:szCs w:val="20"/>
          <w:lang w:val="uk-UA"/>
        </w:rPr>
        <w:t>vitro</w:t>
      </w:r>
      <w:proofErr w:type="spellEnd"/>
      <w:r w:rsidR="009A19DE" w:rsidRPr="009A19DE">
        <w:rPr>
          <w:rFonts w:ascii="Times New Roman" w:hAnsi="Times New Roman"/>
          <w:sz w:val="20"/>
          <w:szCs w:val="20"/>
          <w:lang w:val="uk-UA"/>
        </w:rPr>
        <w:t>");</w:t>
      </w:r>
    </w:p>
    <w:p w:rsidR="009A19DE" w:rsidRPr="00CE78F5" w:rsidRDefault="00782CBE" w:rsidP="00782CBE">
      <w:pPr>
        <w:spacing w:after="0" w:line="254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2. Надати і</w:t>
      </w:r>
      <w:r w:rsidR="009A19DE" w:rsidRPr="00CE78F5">
        <w:rPr>
          <w:rFonts w:ascii="Times New Roman" w:hAnsi="Times New Roman"/>
          <w:sz w:val="20"/>
          <w:szCs w:val="20"/>
          <w:lang w:val="uk-UA"/>
        </w:rPr>
        <w:t>нструкцію з використання на запропоновані вироби (</w:t>
      </w:r>
      <w:r w:rsidR="009A19DE" w:rsidRPr="00782CBE">
        <w:rPr>
          <w:rFonts w:ascii="Times New Roman" w:hAnsi="Times New Roman"/>
          <w:b/>
          <w:sz w:val="20"/>
          <w:szCs w:val="20"/>
          <w:lang w:val="uk-UA"/>
        </w:rPr>
        <w:t>інструкція надається на кожен виріб</w:t>
      </w:r>
      <w:r w:rsidR="009A19DE" w:rsidRPr="00CE78F5">
        <w:rPr>
          <w:rFonts w:ascii="Times New Roman" w:hAnsi="Times New Roman"/>
          <w:sz w:val="20"/>
          <w:szCs w:val="20"/>
          <w:lang w:val="uk-UA"/>
        </w:rPr>
        <w:t>).</w:t>
      </w:r>
    </w:p>
    <w:p w:rsidR="00EA459F" w:rsidRDefault="00782CBE" w:rsidP="00782CBE">
      <w:pPr>
        <w:spacing w:after="0"/>
        <w:jc w:val="both"/>
        <w:outlineLvl w:val="0"/>
        <w:rPr>
          <w:rFonts w:ascii="Times New Roman" w:hAnsi="Times New Roman"/>
          <w:bCs/>
          <w:iCs/>
          <w:lang w:val="uk-UA" w:eastAsia="ru-RU"/>
        </w:rPr>
      </w:pPr>
      <w:r>
        <w:rPr>
          <w:rFonts w:ascii="Times New Roman" w:hAnsi="Times New Roman"/>
          <w:bCs/>
          <w:iCs/>
          <w:lang w:val="uk-UA" w:eastAsia="ru-RU"/>
        </w:rPr>
        <w:t>3.</w:t>
      </w:r>
      <w:r w:rsidR="00EA459F" w:rsidRPr="00EA459F">
        <w:rPr>
          <w:rFonts w:ascii="Times New Roman" w:hAnsi="Times New Roman"/>
          <w:bCs/>
          <w:iCs/>
          <w:lang w:val="uk-UA" w:eastAsia="ru-RU"/>
        </w:rPr>
        <w:t xml:space="preserve"> З метою запобігання закупівлі фальсифікатів та отримання гарантій на своєчасне постачання товару у кількості та якості, яких вимагає ця документація, надати оригінали гарантійних листів виробників або їх офіційних представників (якщо їх повноваження поширюються на територію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України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),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якими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підтверджується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те,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що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Учасник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має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можливість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поставки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запропонованого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товару для потреб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Замовника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у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відповідній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до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вимог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цієї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документації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,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кількості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,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якості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та у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встановлені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терміни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.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Гарантійний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лист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виробника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повинен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містити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посилання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на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повну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назву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учасника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, номер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оголошення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, а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також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назву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предмету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закупівлі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EA459F">
        <w:rPr>
          <w:rFonts w:ascii="Times New Roman" w:hAnsi="Times New Roman"/>
          <w:bCs/>
          <w:iCs/>
          <w:lang w:eastAsia="ru-RU"/>
        </w:rPr>
        <w:t>згідно</w:t>
      </w:r>
      <w:proofErr w:type="spellEnd"/>
      <w:r w:rsidR="00EA459F">
        <w:rPr>
          <w:rFonts w:ascii="Times New Roman" w:hAnsi="Times New Roman"/>
          <w:bCs/>
          <w:iCs/>
          <w:lang w:eastAsia="ru-RU"/>
        </w:rPr>
        <w:t xml:space="preserve"> ДК.</w:t>
      </w:r>
    </w:p>
    <w:p w:rsidR="00EA459F" w:rsidRDefault="00EA459F" w:rsidP="00EA459F">
      <w:pPr>
        <w:spacing w:after="0"/>
        <w:jc w:val="both"/>
        <w:outlineLvl w:val="0"/>
        <w:rPr>
          <w:rFonts w:ascii="Times New Roman" w:hAnsi="Times New Roman"/>
          <w:bCs/>
          <w:iCs/>
          <w:lang w:eastAsia="ru-RU"/>
        </w:rPr>
      </w:pPr>
      <w:r>
        <w:rPr>
          <w:rFonts w:ascii="Times New Roman" w:hAnsi="Times New Roman"/>
          <w:bCs/>
          <w:iCs/>
          <w:lang w:val="uk-UA" w:eastAsia="ru-RU"/>
        </w:rPr>
        <w:t>4.</w:t>
      </w:r>
      <w:r w:rsidRPr="00EA459F">
        <w:rPr>
          <w:rFonts w:ascii="Times New Roman" w:hAnsi="Times New Roman"/>
          <w:bCs/>
          <w:iCs/>
          <w:lang w:eastAsia="ru-RU"/>
        </w:rPr>
        <w:t xml:space="preserve"> </w:t>
      </w:r>
      <w:r>
        <w:rPr>
          <w:rFonts w:ascii="Times New Roman" w:hAnsi="Times New Roman"/>
          <w:bCs/>
          <w:iCs/>
          <w:lang w:eastAsia="ru-RU"/>
        </w:rPr>
        <w:t xml:space="preserve">Товар повинен </w:t>
      </w:r>
      <w:proofErr w:type="spellStart"/>
      <w:r>
        <w:rPr>
          <w:rFonts w:ascii="Times New Roman" w:hAnsi="Times New Roman"/>
          <w:bCs/>
          <w:iCs/>
          <w:lang w:eastAsia="ru-RU"/>
        </w:rPr>
        <w:t>передаватись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на склад </w:t>
      </w:r>
      <w:proofErr w:type="spellStart"/>
      <w:r>
        <w:rPr>
          <w:rFonts w:ascii="Times New Roman" w:hAnsi="Times New Roman"/>
          <w:bCs/>
          <w:iCs/>
          <w:lang w:eastAsia="ru-RU"/>
        </w:rPr>
        <w:t>Замовника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в </w:t>
      </w:r>
      <w:proofErr w:type="spellStart"/>
      <w:r>
        <w:rPr>
          <w:rFonts w:ascii="Times New Roman" w:hAnsi="Times New Roman"/>
          <w:bCs/>
          <w:iCs/>
          <w:lang w:eastAsia="ru-RU"/>
        </w:rPr>
        <w:t>неушкодженій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lang w:eastAsia="ru-RU"/>
        </w:rPr>
        <w:t>упаковці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, яка  </w:t>
      </w:r>
      <w:proofErr w:type="spellStart"/>
      <w:r>
        <w:rPr>
          <w:rFonts w:ascii="Times New Roman" w:hAnsi="Times New Roman"/>
          <w:bCs/>
          <w:iCs/>
          <w:lang w:eastAsia="ru-RU"/>
        </w:rPr>
        <w:t>забезпечує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 </w:t>
      </w:r>
      <w:proofErr w:type="spellStart"/>
      <w:r>
        <w:rPr>
          <w:rFonts w:ascii="Times New Roman" w:hAnsi="Times New Roman"/>
          <w:bCs/>
          <w:iCs/>
          <w:lang w:eastAsia="ru-RU"/>
        </w:rPr>
        <w:t>цілісність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товару та </w:t>
      </w:r>
      <w:proofErr w:type="spellStart"/>
      <w:r>
        <w:rPr>
          <w:rFonts w:ascii="Times New Roman" w:hAnsi="Times New Roman"/>
          <w:bCs/>
          <w:iCs/>
          <w:lang w:eastAsia="ru-RU"/>
        </w:rPr>
        <w:t>збереження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 </w:t>
      </w:r>
      <w:proofErr w:type="spellStart"/>
      <w:r>
        <w:rPr>
          <w:rFonts w:ascii="Times New Roman" w:hAnsi="Times New Roman"/>
          <w:bCs/>
          <w:iCs/>
          <w:lang w:eastAsia="ru-RU"/>
        </w:rPr>
        <w:t>його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lang w:eastAsia="ru-RU"/>
        </w:rPr>
        <w:t>якості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lang w:eastAsia="ru-RU"/>
        </w:rPr>
        <w:t>п</w:t>
      </w:r>
      <w:proofErr w:type="gramEnd"/>
      <w:r>
        <w:rPr>
          <w:rFonts w:ascii="Times New Roman" w:hAnsi="Times New Roman"/>
          <w:bCs/>
          <w:iCs/>
          <w:lang w:eastAsia="ru-RU"/>
        </w:rPr>
        <w:t>ід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час </w:t>
      </w:r>
      <w:proofErr w:type="spellStart"/>
      <w:r>
        <w:rPr>
          <w:rFonts w:ascii="Times New Roman" w:hAnsi="Times New Roman"/>
          <w:bCs/>
          <w:iCs/>
          <w:lang w:eastAsia="ru-RU"/>
        </w:rPr>
        <w:t>транспортування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. Упаковка  не </w:t>
      </w:r>
      <w:proofErr w:type="gramStart"/>
      <w:r>
        <w:rPr>
          <w:rFonts w:ascii="Times New Roman" w:hAnsi="Times New Roman"/>
          <w:bCs/>
          <w:iCs/>
          <w:lang w:eastAsia="ru-RU"/>
        </w:rPr>
        <w:t>повинна</w:t>
      </w:r>
      <w:proofErr w:type="gramEnd"/>
      <w:r>
        <w:rPr>
          <w:rFonts w:ascii="Times New Roman" w:hAnsi="Times New Roman"/>
          <w:bCs/>
          <w:iCs/>
          <w:lang w:eastAsia="ru-RU"/>
        </w:rPr>
        <w:t xml:space="preserve"> бути </w:t>
      </w:r>
      <w:proofErr w:type="spellStart"/>
      <w:r>
        <w:rPr>
          <w:rFonts w:ascii="Times New Roman" w:hAnsi="Times New Roman"/>
          <w:bCs/>
          <w:iCs/>
          <w:lang w:eastAsia="ru-RU"/>
        </w:rPr>
        <w:t>пошкоджена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iCs/>
          <w:lang w:eastAsia="ru-RU"/>
        </w:rPr>
        <w:t>розкрита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, не укомплектована </w:t>
      </w:r>
      <w:proofErr w:type="spellStart"/>
      <w:r>
        <w:rPr>
          <w:rFonts w:ascii="Times New Roman" w:hAnsi="Times New Roman"/>
          <w:bCs/>
          <w:iCs/>
          <w:lang w:eastAsia="ru-RU"/>
        </w:rPr>
        <w:t>чи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lang w:eastAsia="ru-RU"/>
        </w:rPr>
        <w:t>недоукомплектована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. На </w:t>
      </w:r>
      <w:proofErr w:type="spellStart"/>
      <w:r>
        <w:rPr>
          <w:rFonts w:ascii="Times New Roman" w:hAnsi="Times New Roman"/>
          <w:bCs/>
          <w:iCs/>
          <w:lang w:eastAsia="ru-RU"/>
        </w:rPr>
        <w:t>упаковці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lang w:eastAsia="ru-RU"/>
        </w:rPr>
        <w:t>повинні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бути </w:t>
      </w:r>
      <w:proofErr w:type="spellStart"/>
      <w:r>
        <w:rPr>
          <w:rFonts w:ascii="Times New Roman" w:hAnsi="Times New Roman"/>
          <w:bCs/>
          <w:iCs/>
          <w:lang w:eastAsia="ru-RU"/>
        </w:rPr>
        <w:t>визначені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дата </w:t>
      </w:r>
      <w:proofErr w:type="spellStart"/>
      <w:r>
        <w:rPr>
          <w:rFonts w:ascii="Times New Roman" w:hAnsi="Times New Roman"/>
          <w:bCs/>
          <w:iCs/>
          <w:lang w:eastAsia="ru-RU"/>
        </w:rPr>
        <w:t>виробництва</w:t>
      </w:r>
      <w:proofErr w:type="spellEnd"/>
      <w:r>
        <w:rPr>
          <w:rFonts w:ascii="Times New Roman" w:hAnsi="Times New Roman"/>
          <w:bCs/>
          <w:iCs/>
          <w:lang w:eastAsia="ru-RU"/>
        </w:rPr>
        <w:t xml:space="preserve"> та термін </w:t>
      </w:r>
      <w:proofErr w:type="spellStart"/>
      <w:r>
        <w:rPr>
          <w:rFonts w:ascii="Times New Roman" w:hAnsi="Times New Roman"/>
          <w:bCs/>
          <w:iCs/>
          <w:lang w:eastAsia="ru-RU"/>
        </w:rPr>
        <w:t>придатності</w:t>
      </w:r>
      <w:proofErr w:type="spellEnd"/>
      <w:r>
        <w:rPr>
          <w:rFonts w:ascii="Times New Roman" w:hAnsi="Times New Roman"/>
          <w:bCs/>
          <w:iCs/>
          <w:lang w:eastAsia="ru-RU"/>
        </w:rPr>
        <w:t>.</w:t>
      </w:r>
    </w:p>
    <w:p w:rsidR="00782CBE" w:rsidRDefault="00EA459F" w:rsidP="00782CBE">
      <w:pPr>
        <w:spacing w:after="0"/>
        <w:jc w:val="both"/>
        <w:outlineLvl w:val="0"/>
        <w:rPr>
          <w:rFonts w:ascii="Times New Roman" w:hAnsi="Times New Roman"/>
          <w:bCs/>
          <w:iCs/>
          <w:lang w:eastAsia="ru-RU"/>
        </w:rPr>
      </w:pPr>
      <w:r>
        <w:rPr>
          <w:rFonts w:ascii="Times New Roman" w:hAnsi="Times New Roman"/>
          <w:bCs/>
          <w:iCs/>
          <w:lang w:val="uk-UA" w:eastAsia="ru-RU"/>
        </w:rPr>
        <w:t>5</w:t>
      </w:r>
      <w:r w:rsidR="00782CBE">
        <w:rPr>
          <w:rFonts w:ascii="Times New Roman" w:hAnsi="Times New Roman"/>
          <w:bCs/>
          <w:iCs/>
          <w:lang w:val="uk-UA" w:eastAsia="ru-RU"/>
        </w:rPr>
        <w:t>.</w:t>
      </w:r>
      <w:r w:rsidR="00782CBE">
        <w:rPr>
          <w:rFonts w:ascii="Times New Roman" w:hAnsi="Times New Roman"/>
          <w:bCs/>
          <w:iCs/>
          <w:lang w:eastAsia="ru-RU"/>
        </w:rPr>
        <w:t xml:space="preserve"> На момент </w:t>
      </w:r>
      <w:proofErr w:type="spellStart"/>
      <w:r w:rsidR="00782CBE">
        <w:rPr>
          <w:rFonts w:ascii="Times New Roman" w:hAnsi="Times New Roman"/>
          <w:bCs/>
          <w:iCs/>
          <w:lang w:eastAsia="ru-RU"/>
        </w:rPr>
        <w:t>постачання</w:t>
      </w:r>
      <w:proofErr w:type="spellEnd"/>
      <w:r w:rsidR="00782CBE">
        <w:rPr>
          <w:rFonts w:ascii="Times New Roman" w:hAnsi="Times New Roman"/>
          <w:bCs/>
          <w:iCs/>
          <w:lang w:eastAsia="ru-RU"/>
        </w:rPr>
        <w:t xml:space="preserve"> товару </w:t>
      </w:r>
      <w:proofErr w:type="spellStart"/>
      <w:r w:rsidR="00782CBE">
        <w:rPr>
          <w:rFonts w:ascii="Times New Roman" w:hAnsi="Times New Roman"/>
          <w:bCs/>
          <w:iCs/>
          <w:lang w:eastAsia="ru-RU"/>
        </w:rPr>
        <w:t>залишок</w:t>
      </w:r>
      <w:proofErr w:type="spellEnd"/>
      <w:r w:rsidR="00782CBE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782CBE">
        <w:rPr>
          <w:rFonts w:ascii="Times New Roman" w:hAnsi="Times New Roman"/>
          <w:bCs/>
          <w:iCs/>
          <w:lang w:eastAsia="ru-RU"/>
        </w:rPr>
        <w:t>терміну</w:t>
      </w:r>
      <w:proofErr w:type="spellEnd"/>
      <w:r w:rsidR="00782CBE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782CBE">
        <w:rPr>
          <w:rFonts w:ascii="Times New Roman" w:hAnsi="Times New Roman"/>
          <w:bCs/>
          <w:iCs/>
          <w:lang w:eastAsia="ru-RU"/>
        </w:rPr>
        <w:t>зберігання</w:t>
      </w:r>
      <w:proofErr w:type="spellEnd"/>
      <w:r w:rsidR="00782CBE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782CBE">
        <w:rPr>
          <w:rFonts w:ascii="Times New Roman" w:hAnsi="Times New Roman"/>
          <w:bCs/>
          <w:iCs/>
          <w:lang w:eastAsia="ru-RU"/>
        </w:rPr>
        <w:t>продукції</w:t>
      </w:r>
      <w:proofErr w:type="spellEnd"/>
      <w:r w:rsidR="00782CBE">
        <w:rPr>
          <w:rFonts w:ascii="Times New Roman" w:hAnsi="Times New Roman"/>
          <w:bCs/>
          <w:iCs/>
          <w:lang w:eastAsia="ru-RU"/>
        </w:rPr>
        <w:t xml:space="preserve"> повинен бути не </w:t>
      </w:r>
      <w:proofErr w:type="spellStart"/>
      <w:r w:rsidR="00782CBE">
        <w:rPr>
          <w:rFonts w:ascii="Times New Roman" w:hAnsi="Times New Roman"/>
          <w:bCs/>
          <w:iCs/>
          <w:lang w:eastAsia="ru-RU"/>
        </w:rPr>
        <w:t>менше</w:t>
      </w:r>
      <w:proofErr w:type="spellEnd"/>
      <w:r w:rsidR="00782CBE">
        <w:rPr>
          <w:rFonts w:ascii="Times New Roman" w:hAnsi="Times New Roman"/>
          <w:bCs/>
          <w:iCs/>
          <w:lang w:eastAsia="ru-RU"/>
        </w:rPr>
        <w:t xml:space="preserve"> 80% </w:t>
      </w:r>
      <w:proofErr w:type="spellStart"/>
      <w:r w:rsidR="00782CBE">
        <w:rPr>
          <w:rFonts w:ascii="Times New Roman" w:hAnsi="Times New Roman"/>
          <w:bCs/>
          <w:iCs/>
          <w:lang w:eastAsia="ru-RU"/>
        </w:rPr>
        <w:t>загального</w:t>
      </w:r>
      <w:proofErr w:type="spellEnd"/>
      <w:r w:rsidR="00782CBE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782CBE">
        <w:rPr>
          <w:rFonts w:ascii="Times New Roman" w:hAnsi="Times New Roman"/>
          <w:bCs/>
          <w:iCs/>
          <w:lang w:eastAsia="ru-RU"/>
        </w:rPr>
        <w:t>терміну</w:t>
      </w:r>
      <w:proofErr w:type="spellEnd"/>
      <w:r w:rsidR="00782CBE">
        <w:rPr>
          <w:rFonts w:ascii="Times New Roman" w:hAnsi="Times New Roman"/>
          <w:bCs/>
          <w:iCs/>
          <w:lang w:eastAsia="ru-RU"/>
        </w:rPr>
        <w:t xml:space="preserve"> </w:t>
      </w:r>
      <w:proofErr w:type="spellStart"/>
      <w:r w:rsidR="00782CBE">
        <w:rPr>
          <w:rFonts w:ascii="Times New Roman" w:hAnsi="Times New Roman"/>
          <w:bCs/>
          <w:iCs/>
          <w:lang w:eastAsia="ru-RU"/>
        </w:rPr>
        <w:t>зберігання</w:t>
      </w:r>
      <w:proofErr w:type="spellEnd"/>
      <w:r w:rsidR="00782CBE">
        <w:rPr>
          <w:rFonts w:ascii="Times New Roman" w:hAnsi="Times New Roman"/>
          <w:bCs/>
          <w:iCs/>
          <w:lang w:eastAsia="ru-RU"/>
        </w:rPr>
        <w:t xml:space="preserve"> (</w:t>
      </w:r>
      <w:proofErr w:type="spellStart"/>
      <w:r w:rsidR="00782CBE" w:rsidRPr="00782CBE">
        <w:rPr>
          <w:rFonts w:ascii="Times New Roman" w:hAnsi="Times New Roman"/>
          <w:b/>
          <w:bCs/>
          <w:iCs/>
          <w:lang w:eastAsia="ru-RU"/>
        </w:rPr>
        <w:t>надати</w:t>
      </w:r>
      <w:proofErr w:type="spellEnd"/>
      <w:r w:rsidR="00782CBE" w:rsidRPr="00782CBE">
        <w:rPr>
          <w:rFonts w:ascii="Times New Roman" w:hAnsi="Times New Roman"/>
          <w:b/>
          <w:bCs/>
          <w:iCs/>
          <w:lang w:eastAsia="ru-RU"/>
        </w:rPr>
        <w:t xml:space="preserve"> </w:t>
      </w:r>
      <w:proofErr w:type="spellStart"/>
      <w:r w:rsidR="00782CBE" w:rsidRPr="00782CBE">
        <w:rPr>
          <w:rFonts w:ascii="Times New Roman" w:hAnsi="Times New Roman"/>
          <w:b/>
          <w:bCs/>
          <w:iCs/>
          <w:lang w:eastAsia="ru-RU"/>
        </w:rPr>
        <w:t>гарантійний</w:t>
      </w:r>
      <w:proofErr w:type="spellEnd"/>
      <w:r w:rsidR="00782CBE" w:rsidRPr="00782CBE">
        <w:rPr>
          <w:rFonts w:ascii="Times New Roman" w:hAnsi="Times New Roman"/>
          <w:b/>
          <w:bCs/>
          <w:iCs/>
          <w:lang w:eastAsia="ru-RU"/>
        </w:rPr>
        <w:t xml:space="preserve"> лист про те, </w:t>
      </w:r>
      <w:proofErr w:type="spellStart"/>
      <w:r w:rsidR="00782CBE" w:rsidRPr="00782CBE">
        <w:rPr>
          <w:rFonts w:ascii="Times New Roman" w:hAnsi="Times New Roman"/>
          <w:b/>
          <w:bCs/>
          <w:iCs/>
          <w:lang w:eastAsia="ru-RU"/>
        </w:rPr>
        <w:t>що</w:t>
      </w:r>
      <w:proofErr w:type="spellEnd"/>
      <w:r w:rsidR="00782CBE" w:rsidRPr="00782CBE">
        <w:rPr>
          <w:rFonts w:ascii="Times New Roman" w:hAnsi="Times New Roman"/>
          <w:b/>
          <w:bCs/>
          <w:iCs/>
          <w:lang w:eastAsia="ru-RU"/>
        </w:rPr>
        <w:t xml:space="preserve"> </w:t>
      </w:r>
      <w:proofErr w:type="spellStart"/>
      <w:r w:rsidR="00782CBE" w:rsidRPr="00782CBE">
        <w:rPr>
          <w:rFonts w:ascii="Times New Roman" w:hAnsi="Times New Roman"/>
          <w:b/>
          <w:bCs/>
          <w:iCs/>
          <w:lang w:eastAsia="ru-RU"/>
        </w:rPr>
        <w:t>залишки</w:t>
      </w:r>
      <w:proofErr w:type="spellEnd"/>
      <w:r w:rsidR="00782CBE" w:rsidRPr="00782CBE">
        <w:rPr>
          <w:rFonts w:ascii="Times New Roman" w:hAnsi="Times New Roman"/>
          <w:b/>
          <w:bCs/>
          <w:iCs/>
          <w:lang w:eastAsia="ru-RU"/>
        </w:rPr>
        <w:t xml:space="preserve"> </w:t>
      </w:r>
      <w:proofErr w:type="spellStart"/>
      <w:r w:rsidR="00782CBE" w:rsidRPr="00782CBE">
        <w:rPr>
          <w:rFonts w:ascii="Times New Roman" w:hAnsi="Times New Roman"/>
          <w:b/>
          <w:bCs/>
          <w:iCs/>
          <w:lang w:eastAsia="ru-RU"/>
        </w:rPr>
        <w:t>терміну</w:t>
      </w:r>
      <w:proofErr w:type="spellEnd"/>
      <w:r w:rsidR="00782CBE" w:rsidRPr="00782CBE">
        <w:rPr>
          <w:rFonts w:ascii="Times New Roman" w:hAnsi="Times New Roman"/>
          <w:b/>
          <w:bCs/>
          <w:iCs/>
          <w:lang w:eastAsia="ru-RU"/>
        </w:rPr>
        <w:t xml:space="preserve"> </w:t>
      </w:r>
      <w:proofErr w:type="spellStart"/>
      <w:r w:rsidR="00782CBE" w:rsidRPr="00782CBE">
        <w:rPr>
          <w:rFonts w:ascii="Times New Roman" w:hAnsi="Times New Roman"/>
          <w:b/>
          <w:bCs/>
          <w:iCs/>
          <w:lang w:eastAsia="ru-RU"/>
        </w:rPr>
        <w:t>зберігання</w:t>
      </w:r>
      <w:proofErr w:type="spellEnd"/>
      <w:r w:rsidR="00782CBE" w:rsidRPr="00782CBE">
        <w:rPr>
          <w:rFonts w:ascii="Times New Roman" w:hAnsi="Times New Roman"/>
          <w:b/>
          <w:bCs/>
          <w:iCs/>
          <w:lang w:eastAsia="ru-RU"/>
        </w:rPr>
        <w:t xml:space="preserve"> на момент поставки товару </w:t>
      </w:r>
      <w:proofErr w:type="spellStart"/>
      <w:r w:rsidR="00782CBE" w:rsidRPr="00782CBE">
        <w:rPr>
          <w:rFonts w:ascii="Times New Roman" w:hAnsi="Times New Roman"/>
          <w:b/>
          <w:bCs/>
          <w:iCs/>
          <w:lang w:eastAsia="ru-RU"/>
        </w:rPr>
        <w:t>складатимуть</w:t>
      </w:r>
      <w:proofErr w:type="spellEnd"/>
      <w:r w:rsidR="00782CBE" w:rsidRPr="00782CBE">
        <w:rPr>
          <w:rFonts w:ascii="Times New Roman" w:hAnsi="Times New Roman"/>
          <w:b/>
          <w:bCs/>
          <w:iCs/>
          <w:lang w:eastAsia="ru-RU"/>
        </w:rPr>
        <w:t xml:space="preserve"> не </w:t>
      </w:r>
      <w:proofErr w:type="spellStart"/>
      <w:r w:rsidR="00782CBE" w:rsidRPr="00782CBE">
        <w:rPr>
          <w:rFonts w:ascii="Times New Roman" w:hAnsi="Times New Roman"/>
          <w:b/>
          <w:bCs/>
          <w:iCs/>
          <w:lang w:eastAsia="ru-RU"/>
        </w:rPr>
        <w:t>менше</w:t>
      </w:r>
      <w:proofErr w:type="spellEnd"/>
      <w:r w:rsidR="00782CBE" w:rsidRPr="00782CBE">
        <w:rPr>
          <w:rFonts w:ascii="Times New Roman" w:hAnsi="Times New Roman"/>
          <w:b/>
          <w:bCs/>
          <w:iCs/>
          <w:lang w:eastAsia="ru-RU"/>
        </w:rPr>
        <w:t xml:space="preserve"> 80% до </w:t>
      </w:r>
      <w:proofErr w:type="spellStart"/>
      <w:r w:rsidR="00782CBE" w:rsidRPr="00782CBE">
        <w:rPr>
          <w:rFonts w:ascii="Times New Roman" w:hAnsi="Times New Roman"/>
          <w:b/>
          <w:bCs/>
          <w:iCs/>
          <w:lang w:eastAsia="ru-RU"/>
        </w:rPr>
        <w:t>загального</w:t>
      </w:r>
      <w:proofErr w:type="spellEnd"/>
      <w:r w:rsidR="00782CBE" w:rsidRPr="00782CBE">
        <w:rPr>
          <w:rFonts w:ascii="Times New Roman" w:hAnsi="Times New Roman"/>
          <w:b/>
          <w:bCs/>
          <w:iCs/>
          <w:lang w:eastAsia="ru-RU"/>
        </w:rPr>
        <w:t xml:space="preserve"> </w:t>
      </w:r>
      <w:proofErr w:type="spellStart"/>
      <w:r w:rsidR="00782CBE" w:rsidRPr="00782CBE">
        <w:rPr>
          <w:rFonts w:ascii="Times New Roman" w:hAnsi="Times New Roman"/>
          <w:b/>
          <w:bCs/>
          <w:iCs/>
          <w:lang w:eastAsia="ru-RU"/>
        </w:rPr>
        <w:t>терміну</w:t>
      </w:r>
      <w:proofErr w:type="spellEnd"/>
      <w:r w:rsidR="00782CBE" w:rsidRPr="00782CBE">
        <w:rPr>
          <w:rFonts w:ascii="Times New Roman" w:hAnsi="Times New Roman"/>
          <w:b/>
          <w:bCs/>
          <w:iCs/>
          <w:lang w:eastAsia="ru-RU"/>
        </w:rPr>
        <w:t xml:space="preserve"> </w:t>
      </w:r>
      <w:proofErr w:type="spellStart"/>
      <w:r w:rsidR="00782CBE" w:rsidRPr="00782CBE">
        <w:rPr>
          <w:rFonts w:ascii="Times New Roman" w:hAnsi="Times New Roman"/>
          <w:b/>
          <w:bCs/>
          <w:iCs/>
          <w:lang w:eastAsia="ru-RU"/>
        </w:rPr>
        <w:t>зберігання</w:t>
      </w:r>
      <w:proofErr w:type="spellEnd"/>
      <w:r w:rsidR="00782CBE">
        <w:rPr>
          <w:rFonts w:ascii="Times New Roman" w:hAnsi="Times New Roman"/>
          <w:bCs/>
          <w:iCs/>
          <w:lang w:eastAsia="ru-RU"/>
        </w:rPr>
        <w:t>).</w:t>
      </w:r>
    </w:p>
    <w:sectPr w:rsidR="00782C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F84"/>
    <w:multiLevelType w:val="hybridMultilevel"/>
    <w:tmpl w:val="EE9A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75E1"/>
    <w:multiLevelType w:val="hybridMultilevel"/>
    <w:tmpl w:val="EE9A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A62"/>
    <w:multiLevelType w:val="hybridMultilevel"/>
    <w:tmpl w:val="EE9A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16D33"/>
    <w:multiLevelType w:val="hybridMultilevel"/>
    <w:tmpl w:val="EE9A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2C29"/>
    <w:multiLevelType w:val="hybridMultilevel"/>
    <w:tmpl w:val="EE9A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A5B02"/>
    <w:multiLevelType w:val="hybridMultilevel"/>
    <w:tmpl w:val="EE9A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EB"/>
    <w:rsid w:val="0000675E"/>
    <w:rsid w:val="00030C2F"/>
    <w:rsid w:val="00040AA7"/>
    <w:rsid w:val="00062AAB"/>
    <w:rsid w:val="00067461"/>
    <w:rsid w:val="00076C82"/>
    <w:rsid w:val="000878BC"/>
    <w:rsid w:val="0011717B"/>
    <w:rsid w:val="00194E09"/>
    <w:rsid w:val="001A3133"/>
    <w:rsid w:val="001B7852"/>
    <w:rsid w:val="00286A5C"/>
    <w:rsid w:val="0029404E"/>
    <w:rsid w:val="002D5244"/>
    <w:rsid w:val="0033012B"/>
    <w:rsid w:val="0035374F"/>
    <w:rsid w:val="003A1148"/>
    <w:rsid w:val="003A752E"/>
    <w:rsid w:val="00480274"/>
    <w:rsid w:val="004F549A"/>
    <w:rsid w:val="00543558"/>
    <w:rsid w:val="005B48BF"/>
    <w:rsid w:val="00633A77"/>
    <w:rsid w:val="00782CBE"/>
    <w:rsid w:val="007972FA"/>
    <w:rsid w:val="007B3411"/>
    <w:rsid w:val="007F6F8C"/>
    <w:rsid w:val="00837BA3"/>
    <w:rsid w:val="008C2A96"/>
    <w:rsid w:val="009A19DE"/>
    <w:rsid w:val="009B7DF9"/>
    <w:rsid w:val="00A21709"/>
    <w:rsid w:val="00A63599"/>
    <w:rsid w:val="00A7337A"/>
    <w:rsid w:val="00AB4E6A"/>
    <w:rsid w:val="00AC06B8"/>
    <w:rsid w:val="00B2687C"/>
    <w:rsid w:val="00B66B79"/>
    <w:rsid w:val="00BB43E3"/>
    <w:rsid w:val="00BF497C"/>
    <w:rsid w:val="00C033AE"/>
    <w:rsid w:val="00C2794C"/>
    <w:rsid w:val="00C87FA8"/>
    <w:rsid w:val="00CA4E91"/>
    <w:rsid w:val="00CE78F5"/>
    <w:rsid w:val="00D32EBF"/>
    <w:rsid w:val="00D7109C"/>
    <w:rsid w:val="00D9413B"/>
    <w:rsid w:val="00DB6621"/>
    <w:rsid w:val="00E2238C"/>
    <w:rsid w:val="00EA459F"/>
    <w:rsid w:val="00F51FBD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F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EB"/>
    <w:pPr>
      <w:ind w:left="720"/>
      <w:contextualSpacing/>
    </w:pPr>
  </w:style>
  <w:style w:type="character" w:customStyle="1" w:styleId="2Tahoma9pt">
    <w:name w:val="Основной текст (2) + Tahoma;9 pt"/>
    <w:rsid w:val="00FC44EB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Standard">
    <w:name w:val="Standard"/>
    <w:rsid w:val="00EA45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F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EB"/>
    <w:pPr>
      <w:ind w:left="720"/>
      <w:contextualSpacing/>
    </w:pPr>
  </w:style>
  <w:style w:type="character" w:customStyle="1" w:styleId="2Tahoma9pt">
    <w:name w:val="Основной текст (2) + Tahoma;9 pt"/>
    <w:rsid w:val="00FC44EB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Standard">
    <w:name w:val="Standard"/>
    <w:rsid w:val="00EA45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114E-3F7F-422E-A330-DEC12246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4126</Words>
  <Characters>2352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4</cp:revision>
  <dcterms:created xsi:type="dcterms:W3CDTF">2024-02-05T17:24:00Z</dcterms:created>
  <dcterms:modified xsi:type="dcterms:W3CDTF">2024-02-06T07:27:00Z</dcterms:modified>
</cp:coreProperties>
</file>