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D80AB8">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6A6FA1"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322BCF" w:rsidRPr="00417807">
        <w:rPr>
          <w:rFonts w:ascii="Times New Roman" w:hAnsi="Times New Roman" w:cs="Times New Roman"/>
          <w:sz w:val="24"/>
          <w:szCs w:val="24"/>
          <w:lang w:bidi="uk-UA"/>
        </w:rPr>
        <w:t xml:space="preserve">уклали цей Договір про закупівлю (надалі - </w:t>
      </w:r>
      <w:r w:rsidR="00322BCF" w:rsidRPr="00417807">
        <w:rPr>
          <w:rStyle w:val="a8"/>
          <w:rFonts w:eastAsia="Courier New"/>
          <w:sz w:val="24"/>
          <w:szCs w:val="24"/>
        </w:rPr>
        <w:t>Договір</w:t>
      </w:r>
      <w:r w:rsidR="00322BCF" w:rsidRPr="00417807">
        <w:rPr>
          <w:rFonts w:ascii="Times New Roman" w:hAnsi="Times New Roman" w:cs="Times New Roman"/>
          <w:sz w:val="24"/>
          <w:szCs w:val="24"/>
          <w:lang w:bidi="uk-UA"/>
        </w:rPr>
        <w:t xml:space="preserve">) </w:t>
      </w:r>
      <w:r w:rsidR="00322BCF"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w:t>
      </w:r>
      <w:r w:rsidR="00F41F9E" w:rsidRPr="006A6FA1">
        <w:rPr>
          <w:rFonts w:ascii="Times New Roman" w:eastAsia="Times New Roman" w:hAnsi="Times New Roman" w:cs="Times New Roman"/>
          <w:color w:val="000000" w:themeColor="text1"/>
          <w:sz w:val="24"/>
          <w:szCs w:val="24"/>
          <w:highlight w:val="white"/>
        </w:rPr>
        <w:t>наступне:</w:t>
      </w:r>
      <w:r w:rsidR="00F41F9E" w:rsidRPr="006A6FA1">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CE64E2">
      <w:pPr>
        <w:pStyle w:val="normal"/>
        <w:widowControl w:val="0"/>
        <w:pBdr>
          <w:top w:val="nil"/>
          <w:left w:val="nil"/>
          <w:bottom w:val="nil"/>
          <w:right w:val="nil"/>
          <w:between w:val="nil"/>
        </w:pBdr>
        <w:spacing w:line="240" w:lineRule="auto"/>
        <w:ind w:left="4" w:right="94"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1.1. ПОСТАЧАЛЬНИК бере на себе зобов’язання поставити ЗАМОВНИКУ </w:t>
      </w:r>
      <w:r w:rsidR="00E07381" w:rsidRPr="00544CF7">
        <w:rPr>
          <w:rFonts w:ascii="Times New Roman" w:eastAsia="Times New Roman" w:hAnsi="Times New Roman" w:cs="Times New Roman"/>
          <w:b/>
          <w:color w:val="000000" w:themeColor="text1"/>
          <w:sz w:val="24"/>
          <w:szCs w:val="24"/>
        </w:rPr>
        <w:t>ф</w:t>
      </w:r>
      <w:r w:rsidR="00E07381" w:rsidRPr="00544CF7">
        <w:rPr>
          <w:rFonts w:ascii="Times New Roman" w:hAnsi="Times New Roman" w:cs="Times New Roman"/>
          <w:b/>
          <w:color w:val="000000" w:themeColor="text1"/>
          <w:sz w:val="24"/>
          <w:szCs w:val="24"/>
        </w:rPr>
        <w:t xml:space="preserve">армацевтичну продукцію за </w:t>
      </w:r>
      <w:proofErr w:type="spellStart"/>
      <w:r w:rsidR="00E07381" w:rsidRPr="00544CF7">
        <w:rPr>
          <w:rFonts w:ascii="Times New Roman" w:hAnsi="Times New Roman" w:cs="Times New Roman"/>
          <w:b/>
          <w:color w:val="000000" w:themeColor="text1"/>
          <w:sz w:val="24"/>
          <w:szCs w:val="24"/>
        </w:rPr>
        <w:t>ДК</w:t>
      </w:r>
      <w:proofErr w:type="spellEnd"/>
      <w:r w:rsidR="00E07381" w:rsidRPr="00544CF7">
        <w:rPr>
          <w:rFonts w:ascii="Times New Roman" w:hAnsi="Times New Roman" w:cs="Times New Roman"/>
          <w:b/>
          <w:color w:val="000000" w:themeColor="text1"/>
          <w:sz w:val="24"/>
          <w:szCs w:val="24"/>
        </w:rPr>
        <w:t xml:space="preserve"> 021:2015 – 33600000-6:</w:t>
      </w:r>
      <w:r w:rsidR="00A060C2">
        <w:rPr>
          <w:rFonts w:ascii="Times New Roman" w:hAnsi="Times New Roman" w:cs="Times New Roman"/>
          <w:b/>
          <w:color w:val="000000" w:themeColor="text1"/>
          <w:sz w:val="24"/>
          <w:szCs w:val="24"/>
        </w:rPr>
        <w:t xml:space="preserve"> </w:t>
      </w:r>
      <w:r w:rsidR="00A060C2" w:rsidRPr="00FA5D76">
        <w:rPr>
          <w:rFonts w:ascii="Times New Roman" w:hAnsi="Times New Roman" w:cs="Times New Roman"/>
          <w:b/>
          <w:bCs/>
          <w:color w:val="000000"/>
          <w:sz w:val="24"/>
          <w:szCs w:val="24"/>
          <w:bdr w:val="none" w:sz="0" w:space="0" w:color="auto" w:frame="1"/>
        </w:rPr>
        <w:t>Адреналін 1,8 мг, розчин для ін'єкцій, ампули №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Аміаку розчин для зовнішнього застосування, 10 % по 40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у флаконах,</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Аміназин, розчин для ін'єкцій 25мг/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2мл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Анальгін, розчин для ін`єкцій, 500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Ацетилсаліцилова кислота </w:t>
      </w:r>
      <w:proofErr w:type="spellStart"/>
      <w:r w:rsidR="00A060C2" w:rsidRPr="00FA5D76">
        <w:rPr>
          <w:rFonts w:ascii="Times New Roman" w:hAnsi="Times New Roman" w:cs="Times New Roman"/>
          <w:b/>
          <w:bCs/>
          <w:color w:val="000000"/>
          <w:sz w:val="24"/>
          <w:szCs w:val="24"/>
          <w:bdr w:val="none" w:sz="0" w:space="0" w:color="auto" w:frame="1"/>
        </w:rPr>
        <w:t>таб</w:t>
      </w:r>
      <w:proofErr w:type="spellEnd"/>
      <w:r w:rsidR="00A060C2" w:rsidRPr="00FA5D76">
        <w:rPr>
          <w:rFonts w:ascii="Times New Roman" w:hAnsi="Times New Roman" w:cs="Times New Roman"/>
          <w:b/>
          <w:bCs/>
          <w:color w:val="000000"/>
          <w:sz w:val="24"/>
          <w:szCs w:val="24"/>
          <w:bdr w:val="none" w:sz="0" w:space="0" w:color="auto" w:frame="1"/>
        </w:rPr>
        <w:t>. 500 мг №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Верапаміл</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Глюкози розчин для ін'єкцій 40 % по 20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Дексаметазон</w:t>
      </w:r>
      <w:proofErr w:type="spellEnd"/>
      <w:r w:rsidR="00A060C2" w:rsidRPr="00FA5D76">
        <w:rPr>
          <w:rFonts w:ascii="Times New Roman" w:hAnsi="Times New Roman" w:cs="Times New Roman"/>
          <w:b/>
          <w:bCs/>
          <w:color w:val="000000"/>
          <w:sz w:val="24"/>
          <w:szCs w:val="24"/>
          <w:bdr w:val="none" w:sz="0" w:space="0" w:color="auto" w:frame="1"/>
        </w:rPr>
        <w:t>, розчин для ін'єкцій 4мг/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Диклофенак</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Ізо-мік</w:t>
      </w:r>
      <w:proofErr w:type="spellEnd"/>
      <w:r w:rsidR="00A060C2" w:rsidRPr="00FA5D76">
        <w:rPr>
          <w:rFonts w:ascii="Times New Roman" w:hAnsi="Times New Roman" w:cs="Times New Roman"/>
          <w:b/>
          <w:bCs/>
          <w:color w:val="000000"/>
          <w:sz w:val="24"/>
          <w:szCs w:val="24"/>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спрей</w:t>
      </w:r>
      <w:proofErr w:type="spellEnd"/>
      <w:r w:rsidR="00A060C2" w:rsidRPr="00FA5D76">
        <w:rPr>
          <w:rFonts w:ascii="Times New Roman" w:hAnsi="Times New Roman" w:cs="Times New Roman"/>
          <w:b/>
          <w:bCs/>
          <w:color w:val="000000"/>
          <w:sz w:val="24"/>
          <w:szCs w:val="24"/>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сублінгвальний</w:t>
      </w:r>
      <w:proofErr w:type="spellEnd"/>
      <w:r w:rsidR="00A060C2" w:rsidRPr="00FA5D76">
        <w:rPr>
          <w:rFonts w:ascii="Times New Roman" w:hAnsi="Times New Roman" w:cs="Times New Roman"/>
          <w:b/>
          <w:bCs/>
          <w:color w:val="000000"/>
          <w:sz w:val="24"/>
          <w:szCs w:val="24"/>
          <w:bdr w:val="none" w:sz="0" w:space="0" w:color="auto" w:frame="1"/>
        </w:rPr>
        <w:t xml:space="preserve"> дозований 1,25 мг/дозу по 15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Йод розчин для зовнішнього застосування, спиртовий 5 % по 20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Каптопрес</w:t>
      </w:r>
      <w:proofErr w:type="spellEnd"/>
      <w:r w:rsidR="00A060C2" w:rsidRPr="00FA5D76">
        <w:rPr>
          <w:rFonts w:ascii="Times New Roman" w:hAnsi="Times New Roman" w:cs="Times New Roman"/>
          <w:b/>
          <w:bCs/>
          <w:color w:val="000000"/>
          <w:sz w:val="24"/>
          <w:szCs w:val="24"/>
          <w:bdr w:val="none" w:sz="0" w:space="0" w:color="auto" w:frame="1"/>
        </w:rPr>
        <w:t>, таблетки  50мг/25 №20,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Корглікон</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0,6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1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Магнію сульфату 5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 10, </w:t>
      </w:r>
      <w:proofErr w:type="spellStart"/>
      <w:r w:rsidR="00A060C2" w:rsidRPr="00FA5D76">
        <w:rPr>
          <w:rFonts w:ascii="Times New Roman" w:hAnsi="Times New Roman" w:cs="Times New Roman"/>
          <w:b/>
          <w:bCs/>
          <w:color w:val="000000"/>
          <w:sz w:val="24"/>
          <w:szCs w:val="24"/>
          <w:bdr w:val="none" w:sz="0" w:space="0" w:color="auto" w:frame="1"/>
        </w:rPr>
        <w:t>Метоклопрамід</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ампула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Метопролол</w:t>
      </w:r>
      <w:proofErr w:type="spellEnd"/>
      <w:r w:rsidR="00A060C2" w:rsidRPr="00FA5D76">
        <w:rPr>
          <w:rFonts w:ascii="Times New Roman" w:hAnsi="Times New Roman" w:cs="Times New Roman"/>
          <w:b/>
          <w:bCs/>
          <w:color w:val="000000"/>
          <w:sz w:val="24"/>
          <w:szCs w:val="24"/>
          <w:bdr w:val="none" w:sz="0" w:space="0" w:color="auto" w:frame="1"/>
        </w:rPr>
        <w:t xml:space="preserve"> таблетки по 50 мг №3</w:t>
      </w:r>
      <w:r w:rsidR="00E05342"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визначену п. 1.2.  Договору, а ЗАМОВНИК - прийняти таку продукцію та оплатити її в порядку та на умовах,  визначених цим Договором.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Pr="006A6FA1">
        <w:rPr>
          <w:rFonts w:ascii="Times New Roman" w:eastAsia="Times New Roman" w:hAnsi="Times New Roman" w:cs="Times New Roman"/>
          <w:b/>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6A6FA1"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продукція,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w:t>
      </w:r>
      <w:r w:rsidR="00F41F9E" w:rsidRPr="006A6FA1">
        <w:rPr>
          <w:rFonts w:ascii="Times New Roman" w:eastAsia="Times New Roman" w:hAnsi="Times New Roman" w:cs="Times New Roman"/>
          <w:color w:val="000000" w:themeColor="text1"/>
          <w:sz w:val="24"/>
          <w:szCs w:val="24"/>
        </w:rPr>
        <w:lastRenderedPageBreak/>
        <w:t xml:space="preserve">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lastRenderedPageBreak/>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Жодна із Сторін не має права передавати свої зобов’язання за цим Договором іншій особі 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6E47B1">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6E47B1">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6E47B1">
      <w:pPr>
        <w:spacing w:line="240" w:lineRule="auto"/>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6E47B1">
      <w:pPr>
        <w:pStyle w:val="20"/>
        <w:shd w:val="clear" w:color="auto" w:fill="auto"/>
        <w:spacing w:line="240" w:lineRule="auto"/>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FC2459" w:rsidRPr="00322BCF" w:rsidRDefault="00FC2459" w:rsidP="00322BCF">
      <w:pPr>
        <w:pStyle w:val="20"/>
        <w:shd w:val="clear" w:color="auto" w:fill="auto"/>
        <w:spacing w:after="120" w:line="240" w:lineRule="auto"/>
        <w:ind w:left="23"/>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10.2. </w:t>
      </w:r>
      <w:r w:rsidRPr="006A6FA1">
        <w:rPr>
          <w:rFonts w:ascii="Times New Roman" w:hAnsi="Times New Roman" w:cs="Times New Roman"/>
          <w:color w:val="000000" w:themeColor="text1"/>
          <w:sz w:val="24"/>
          <w:szCs w:val="24"/>
        </w:rPr>
        <w:t>Відносини, що виникають під час виконання умов Договору або у зв’язку з ним і не 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544CF7"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544CF7">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4B27CA">
      <w:pPr>
        <w:pStyle w:val="rvps2"/>
        <w:shd w:val="clear" w:color="auto" w:fill="FFFFFF"/>
        <w:spacing w:before="0" w:beforeAutospacing="0" w:after="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4B27CA">
      <w:pPr>
        <w:pStyle w:val="rvps2"/>
        <w:shd w:val="clear" w:color="auto" w:fill="FFFFFF"/>
        <w:spacing w:before="0" w:beforeAutospacing="0" w:after="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lastRenderedPageBreak/>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4B27CA"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1077E" w:rsidRPr="006A6FA1" w:rsidRDefault="00F41F9E"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E6554A" w:rsidRPr="006A6FA1" w:rsidTr="00FB401D">
        <w:trPr>
          <w:trHeight w:val="3925"/>
        </w:trPr>
        <w:tc>
          <w:tcPr>
            <w:tcW w:w="5103"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4962"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0632D9" w:rsidRPr="000632D9" w:rsidRDefault="000632D9" w:rsidP="000632D9">
            <w:pPr>
              <w:rPr>
                <w:rFonts w:ascii="Times New Roman" w:hAnsi="Times New Roman" w:cs="Times New Roman"/>
                <w:sz w:val="24"/>
                <w:szCs w:val="24"/>
              </w:rPr>
            </w:pPr>
            <w:r w:rsidRPr="000632D9">
              <w:rPr>
                <w:rFonts w:ascii="Times New Roman" w:hAnsi="Times New Roman" w:cs="Times New Roman"/>
                <w:sz w:val="24"/>
                <w:szCs w:val="24"/>
                <w:lang w:val="en-US"/>
              </w:rPr>
              <w:t>IBAN</w:t>
            </w:r>
            <w:r w:rsidRPr="000632D9">
              <w:rPr>
                <w:rFonts w:ascii="Times New Roman" w:hAnsi="Times New Roman" w:cs="Times New Roman"/>
                <w:sz w:val="24"/>
                <w:szCs w:val="24"/>
              </w:rPr>
              <w:t xml:space="preserve">: </w:t>
            </w:r>
            <w:r w:rsidRPr="000632D9">
              <w:rPr>
                <w:rFonts w:ascii="Times New Roman" w:hAnsi="Times New Roman" w:cs="Times New Roman"/>
                <w:sz w:val="24"/>
                <w:szCs w:val="24"/>
                <w:lang w:val="en-US"/>
              </w:rPr>
              <w:t>UA</w:t>
            </w:r>
            <w:r w:rsidRPr="000632D9">
              <w:rPr>
                <w:rFonts w:ascii="Times New Roman" w:hAnsi="Times New Roman" w:cs="Times New Roman"/>
                <w:sz w:val="24"/>
                <w:szCs w:val="24"/>
              </w:rPr>
              <w:t>948201720344310009000084880</w:t>
            </w:r>
          </w:p>
          <w:p w:rsidR="00E6554A" w:rsidRPr="000632D9" w:rsidRDefault="000632D9" w:rsidP="000632D9">
            <w:pPr>
              <w:rPr>
                <w:rFonts w:ascii="Times New Roman" w:hAnsi="Times New Roman" w:cs="Times New Roman"/>
                <w:color w:val="000000" w:themeColor="text1"/>
                <w:sz w:val="24"/>
                <w:szCs w:val="24"/>
              </w:rPr>
            </w:pPr>
            <w:r w:rsidRPr="000632D9">
              <w:rPr>
                <w:rFonts w:ascii="Times New Roman" w:hAnsi="Times New Roman" w:cs="Times New Roman"/>
                <w:sz w:val="24"/>
                <w:szCs w:val="24"/>
              </w:rPr>
              <w:t>в ДКСУ м. Київ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F23B07"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544CF7" w:rsidRDefault="00E6554A" w:rsidP="00FB401D">
            <w:pPr>
              <w:rPr>
                <w:rFonts w:ascii="Times New Roman" w:hAnsi="Times New Roman" w:cs="Times New Roman"/>
                <w:b/>
                <w:color w:val="000000" w:themeColor="text1"/>
                <w:sz w:val="24"/>
                <w:szCs w:val="24"/>
              </w:rPr>
            </w:pPr>
            <w:r w:rsidRPr="00544CF7">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AE761D" w:rsidRDefault="00AE761D">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C1077E" w:rsidRPr="00544CF7"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544CF7">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4B27CA"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10"/>
          <w:szCs w:val="10"/>
        </w:rPr>
      </w:pP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4B27CA">
      <w:pPr>
        <w:pStyle w:val="normal"/>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2C7F0C">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r w:rsidR="00CA5AA0" w:rsidRPr="006A6FA1">
        <w:rPr>
          <w:rFonts w:ascii="Times New Roman" w:hAnsi="Times New Roman" w:cs="Times New Roman"/>
          <w:b/>
          <w:bCs/>
          <w:color w:val="000000" w:themeColor="text1"/>
          <w:sz w:val="24"/>
          <w:szCs w:val="24"/>
        </w:rPr>
        <w:t>Фармацевтична продукція за</w:t>
      </w:r>
      <w:r w:rsidR="00CA5AA0" w:rsidRPr="006A6FA1">
        <w:rPr>
          <w:rFonts w:ascii="Times New Roman" w:hAnsi="Times New Roman" w:cs="Times New Roman"/>
          <w:b/>
          <w:color w:val="000000" w:themeColor="text1"/>
          <w:sz w:val="24"/>
          <w:szCs w:val="24"/>
        </w:rPr>
        <w:t xml:space="preserve"> </w:t>
      </w:r>
      <w:proofErr w:type="spellStart"/>
      <w:r w:rsidR="00CA5AA0" w:rsidRPr="006A6FA1">
        <w:rPr>
          <w:rFonts w:ascii="Times New Roman" w:hAnsi="Times New Roman" w:cs="Times New Roman"/>
          <w:b/>
          <w:color w:val="000000" w:themeColor="text1"/>
          <w:sz w:val="24"/>
          <w:szCs w:val="24"/>
        </w:rPr>
        <w:t>ДК</w:t>
      </w:r>
      <w:proofErr w:type="spellEnd"/>
      <w:r w:rsidR="00CA5AA0" w:rsidRPr="006A6FA1">
        <w:rPr>
          <w:rFonts w:ascii="Times New Roman" w:hAnsi="Times New Roman" w:cs="Times New Roman"/>
          <w:b/>
          <w:color w:val="000000" w:themeColor="text1"/>
          <w:sz w:val="24"/>
          <w:szCs w:val="24"/>
        </w:rPr>
        <w:t xml:space="preserve"> 021:2015 – </w:t>
      </w:r>
      <w:r w:rsidR="00CA5AA0" w:rsidRPr="006A6FA1">
        <w:rPr>
          <w:rFonts w:ascii="Times New Roman" w:hAnsi="Times New Roman" w:cs="Times New Roman"/>
          <w:b/>
          <w:bCs/>
          <w:color w:val="000000" w:themeColor="text1"/>
          <w:sz w:val="24"/>
          <w:szCs w:val="24"/>
        </w:rPr>
        <w:t>33600000-6</w:t>
      </w:r>
      <w:r w:rsidR="003D28D0" w:rsidRPr="006A6FA1">
        <w:rPr>
          <w:rFonts w:ascii="Times New Roman" w:hAnsi="Times New Roman" w:cs="Times New Roman"/>
          <w:b/>
          <w:bCs/>
          <w:color w:val="000000" w:themeColor="text1"/>
          <w:sz w:val="24"/>
          <w:szCs w:val="24"/>
        </w:rPr>
        <w:t xml:space="preserve">: </w:t>
      </w:r>
      <w:r w:rsidR="00A060C2" w:rsidRPr="00FA5D76">
        <w:rPr>
          <w:rFonts w:ascii="Times New Roman" w:hAnsi="Times New Roman" w:cs="Times New Roman"/>
          <w:b/>
          <w:bCs/>
          <w:color w:val="000000"/>
          <w:sz w:val="24"/>
          <w:szCs w:val="24"/>
          <w:bdr w:val="none" w:sz="0" w:space="0" w:color="auto" w:frame="1"/>
        </w:rPr>
        <w:t>Адреналін 1,8 мг, розчин для ін'єкцій, ампули №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Аміаку розчин для зовнішнього застосування, 10 % по 40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у флаконах,</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Аміназин, розчин для ін'єкцій 25мг/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2мл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Анальгін, розчин для ін`єкцій, 500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Ацетилсаліцилова кислота </w:t>
      </w:r>
      <w:proofErr w:type="spellStart"/>
      <w:r w:rsidR="00A060C2" w:rsidRPr="00FA5D76">
        <w:rPr>
          <w:rFonts w:ascii="Times New Roman" w:hAnsi="Times New Roman" w:cs="Times New Roman"/>
          <w:b/>
          <w:bCs/>
          <w:color w:val="000000"/>
          <w:sz w:val="24"/>
          <w:szCs w:val="24"/>
          <w:bdr w:val="none" w:sz="0" w:space="0" w:color="auto" w:frame="1"/>
        </w:rPr>
        <w:t>таб</w:t>
      </w:r>
      <w:proofErr w:type="spellEnd"/>
      <w:r w:rsidR="00A060C2" w:rsidRPr="00FA5D76">
        <w:rPr>
          <w:rFonts w:ascii="Times New Roman" w:hAnsi="Times New Roman" w:cs="Times New Roman"/>
          <w:b/>
          <w:bCs/>
          <w:color w:val="000000"/>
          <w:sz w:val="24"/>
          <w:szCs w:val="24"/>
          <w:bdr w:val="none" w:sz="0" w:space="0" w:color="auto" w:frame="1"/>
        </w:rPr>
        <w:t>. 500 мг №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Верапаміл</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в ампулі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Глюкози розчин для ін'єкцій 40 % по 20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Дексаметазон</w:t>
      </w:r>
      <w:proofErr w:type="spellEnd"/>
      <w:r w:rsidR="00A060C2" w:rsidRPr="00FA5D76">
        <w:rPr>
          <w:rFonts w:ascii="Times New Roman" w:hAnsi="Times New Roman" w:cs="Times New Roman"/>
          <w:b/>
          <w:bCs/>
          <w:color w:val="000000"/>
          <w:sz w:val="24"/>
          <w:szCs w:val="24"/>
          <w:bdr w:val="none" w:sz="0" w:space="0" w:color="auto" w:frame="1"/>
        </w:rPr>
        <w:t>, розчин для ін'єкцій 4мг/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Диклофенак</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25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Ізо-мік</w:t>
      </w:r>
      <w:proofErr w:type="spellEnd"/>
      <w:r w:rsidR="00A060C2" w:rsidRPr="00FA5D76">
        <w:rPr>
          <w:rFonts w:ascii="Times New Roman" w:hAnsi="Times New Roman" w:cs="Times New Roman"/>
          <w:b/>
          <w:bCs/>
          <w:color w:val="000000"/>
          <w:sz w:val="24"/>
          <w:szCs w:val="24"/>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спрей</w:t>
      </w:r>
      <w:proofErr w:type="spellEnd"/>
      <w:r w:rsidR="00A060C2" w:rsidRPr="00FA5D76">
        <w:rPr>
          <w:rFonts w:ascii="Times New Roman" w:hAnsi="Times New Roman" w:cs="Times New Roman"/>
          <w:b/>
          <w:bCs/>
          <w:color w:val="000000"/>
          <w:sz w:val="24"/>
          <w:szCs w:val="24"/>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сублінгвальний</w:t>
      </w:r>
      <w:proofErr w:type="spellEnd"/>
      <w:r w:rsidR="00A060C2" w:rsidRPr="00FA5D76">
        <w:rPr>
          <w:rFonts w:ascii="Times New Roman" w:hAnsi="Times New Roman" w:cs="Times New Roman"/>
          <w:b/>
          <w:bCs/>
          <w:color w:val="000000"/>
          <w:sz w:val="24"/>
          <w:szCs w:val="24"/>
          <w:bdr w:val="none" w:sz="0" w:space="0" w:color="auto" w:frame="1"/>
        </w:rPr>
        <w:t xml:space="preserve"> дозований 1,25 мг/дозу по 15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Йод розчин для зовнішнього застосування, спиртовий 5 % по 20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Каптопрес</w:t>
      </w:r>
      <w:proofErr w:type="spellEnd"/>
      <w:r w:rsidR="00A060C2" w:rsidRPr="00FA5D76">
        <w:rPr>
          <w:rFonts w:ascii="Times New Roman" w:hAnsi="Times New Roman" w:cs="Times New Roman"/>
          <w:b/>
          <w:bCs/>
          <w:color w:val="000000"/>
          <w:sz w:val="24"/>
          <w:szCs w:val="24"/>
          <w:bdr w:val="none" w:sz="0" w:space="0" w:color="auto" w:frame="1"/>
        </w:rPr>
        <w:t>, таблетки  50мг/25 №20,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Корглікон</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0,6 мг/</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по 1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№10,</w:t>
      </w:r>
      <w:r w:rsidR="00A060C2" w:rsidRPr="00FA5D76">
        <w:rPr>
          <w:b/>
          <w:bCs/>
          <w:color w:val="000000"/>
          <w:bdr w:val="none" w:sz="0" w:space="0" w:color="auto" w:frame="1"/>
        </w:rPr>
        <w:t xml:space="preserve"> </w:t>
      </w:r>
      <w:r w:rsidR="00A060C2" w:rsidRPr="00FA5D76">
        <w:rPr>
          <w:rFonts w:ascii="Times New Roman" w:hAnsi="Times New Roman" w:cs="Times New Roman"/>
          <w:b/>
          <w:bCs/>
          <w:color w:val="000000"/>
          <w:sz w:val="24"/>
          <w:szCs w:val="24"/>
          <w:bdr w:val="none" w:sz="0" w:space="0" w:color="auto" w:frame="1"/>
        </w:rPr>
        <w:t xml:space="preserve">Магнію сульфату 5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xml:space="preserve"> № 10, </w:t>
      </w:r>
      <w:proofErr w:type="spellStart"/>
      <w:r w:rsidR="00A060C2" w:rsidRPr="00FA5D76">
        <w:rPr>
          <w:rFonts w:ascii="Times New Roman" w:hAnsi="Times New Roman" w:cs="Times New Roman"/>
          <w:b/>
          <w:bCs/>
          <w:color w:val="000000"/>
          <w:sz w:val="24"/>
          <w:szCs w:val="24"/>
          <w:bdr w:val="none" w:sz="0" w:space="0" w:color="auto" w:frame="1"/>
        </w:rPr>
        <w:t>Метоклопрамід</w:t>
      </w:r>
      <w:proofErr w:type="spellEnd"/>
      <w:r w:rsidR="00A060C2" w:rsidRPr="00FA5D76">
        <w:rPr>
          <w:rFonts w:ascii="Times New Roman" w:hAnsi="Times New Roman" w:cs="Times New Roman"/>
          <w:b/>
          <w:bCs/>
          <w:color w:val="000000"/>
          <w:sz w:val="24"/>
          <w:szCs w:val="24"/>
          <w:bdr w:val="none" w:sz="0" w:space="0" w:color="auto" w:frame="1"/>
        </w:rPr>
        <w:t xml:space="preserve">, розчин для ін'єкцій 2 </w:t>
      </w:r>
      <w:proofErr w:type="spellStart"/>
      <w:r w:rsidR="00A060C2" w:rsidRPr="00FA5D76">
        <w:rPr>
          <w:rFonts w:ascii="Times New Roman" w:hAnsi="Times New Roman" w:cs="Times New Roman"/>
          <w:b/>
          <w:bCs/>
          <w:color w:val="000000"/>
          <w:sz w:val="24"/>
          <w:szCs w:val="24"/>
          <w:bdr w:val="none" w:sz="0" w:space="0" w:color="auto" w:frame="1"/>
        </w:rPr>
        <w:t>мл</w:t>
      </w:r>
      <w:proofErr w:type="spellEnd"/>
      <w:r w:rsidR="00A060C2" w:rsidRPr="00FA5D76">
        <w:rPr>
          <w:rFonts w:ascii="Times New Roman" w:hAnsi="Times New Roman" w:cs="Times New Roman"/>
          <w:b/>
          <w:bCs/>
          <w:color w:val="000000"/>
          <w:sz w:val="24"/>
          <w:szCs w:val="24"/>
          <w:bdr w:val="none" w:sz="0" w:space="0" w:color="auto" w:frame="1"/>
        </w:rPr>
        <w:t>, ампула №10,</w:t>
      </w:r>
      <w:r w:rsidR="00A060C2" w:rsidRPr="00FA5D76">
        <w:rPr>
          <w:b/>
          <w:bCs/>
          <w:color w:val="000000"/>
          <w:bdr w:val="none" w:sz="0" w:space="0" w:color="auto" w:frame="1"/>
        </w:rPr>
        <w:t xml:space="preserve"> </w:t>
      </w:r>
      <w:proofErr w:type="spellStart"/>
      <w:r w:rsidR="00A060C2" w:rsidRPr="00FA5D76">
        <w:rPr>
          <w:rFonts w:ascii="Times New Roman" w:hAnsi="Times New Roman" w:cs="Times New Roman"/>
          <w:b/>
          <w:bCs/>
          <w:color w:val="000000"/>
          <w:sz w:val="24"/>
          <w:szCs w:val="24"/>
          <w:bdr w:val="none" w:sz="0" w:space="0" w:color="auto" w:frame="1"/>
        </w:rPr>
        <w:t>Метопролол</w:t>
      </w:r>
      <w:proofErr w:type="spellEnd"/>
      <w:r w:rsidR="00A060C2" w:rsidRPr="00FA5D76">
        <w:rPr>
          <w:rFonts w:ascii="Times New Roman" w:hAnsi="Times New Roman" w:cs="Times New Roman"/>
          <w:b/>
          <w:bCs/>
          <w:color w:val="000000"/>
          <w:sz w:val="24"/>
          <w:szCs w:val="24"/>
          <w:bdr w:val="none" w:sz="0" w:space="0" w:color="auto" w:frame="1"/>
        </w:rPr>
        <w:t xml:space="preserve"> таблетки по 50 мг №3</w:t>
      </w:r>
      <w:r w:rsidRPr="006A6FA1">
        <w:rPr>
          <w:rFonts w:ascii="Times New Roman" w:eastAsia="Times New Roman" w:hAnsi="Times New Roman" w:cs="Times New Roman"/>
          <w:color w:val="000000" w:themeColor="text1"/>
          <w:sz w:val="24"/>
          <w:szCs w:val="24"/>
        </w:rPr>
        <w:t xml:space="preserve">. </w:t>
      </w:r>
    </w:p>
    <w:p w:rsidR="00CA5AA0" w:rsidRPr="004B27CA"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10"/>
          <w:szCs w:val="10"/>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391"/>
        <w:gridCol w:w="1240"/>
        <w:gridCol w:w="1244"/>
        <w:gridCol w:w="2163"/>
      </w:tblGrid>
      <w:tr w:rsidR="00C1077E" w:rsidRPr="006A6FA1" w:rsidTr="004B27CA">
        <w:trPr>
          <w:cantSplit/>
          <w:trHeight w:val="731"/>
          <w:tblHeader/>
        </w:trPr>
        <w:tc>
          <w:tcPr>
            <w:tcW w:w="14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669"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(форму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596"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598"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грн.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без ПДВ</w:t>
            </w:r>
          </w:p>
        </w:tc>
        <w:tc>
          <w:tcPr>
            <w:tcW w:w="104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4B27CA">
        <w:trPr>
          <w:cantSplit/>
          <w:trHeight w:val="191"/>
          <w:tblHeader/>
        </w:trPr>
        <w:tc>
          <w:tcPr>
            <w:tcW w:w="14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669"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6"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8"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12"/>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04"/>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7"/>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4B27CA">
        <w:trPr>
          <w:cantSplit/>
          <w:trHeight w:val="201"/>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4B27CA" w:rsidRDefault="00C1077E" w:rsidP="004B27CA">
      <w:pPr>
        <w:pStyle w:val="normal"/>
        <w:widowControl w:val="0"/>
        <w:pBdr>
          <w:top w:val="nil"/>
          <w:left w:val="nil"/>
          <w:bottom w:val="nil"/>
          <w:right w:val="nil"/>
          <w:between w:val="nil"/>
        </w:pBdr>
        <w:spacing w:line="240" w:lineRule="auto"/>
        <w:rPr>
          <w:rFonts w:ascii="Times New Roman" w:hAnsi="Times New Roman" w:cs="Times New Roman"/>
          <w:color w:val="000000" w:themeColor="text1"/>
          <w:sz w:val="10"/>
          <w:szCs w:val="10"/>
        </w:rPr>
      </w:pPr>
    </w:p>
    <w:p w:rsidR="00C1077E" w:rsidRPr="004B27CA"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4B27CA">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4B27CA">
        <w:rPr>
          <w:rFonts w:ascii="Times New Roman" w:eastAsia="Times New Roman" w:hAnsi="Times New Roman" w:cs="Times New Roman"/>
          <w:color w:val="000000" w:themeColor="text1"/>
          <w:sz w:val="24"/>
          <w:szCs w:val="24"/>
        </w:rPr>
        <w:t>грн</w:t>
      </w:r>
      <w:proofErr w:type="spellEnd"/>
      <w:r w:rsidRPr="004B27CA">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4B27CA">
        <w:rPr>
          <w:rFonts w:ascii="Times New Roman" w:eastAsia="Times New Roman" w:hAnsi="Times New Roman" w:cs="Times New Roman"/>
          <w:color w:val="000000" w:themeColor="text1"/>
          <w:sz w:val="24"/>
          <w:szCs w:val="24"/>
        </w:rPr>
        <w:t>грн</w:t>
      </w:r>
      <w:proofErr w:type="spellEnd"/>
      <w:r w:rsidRPr="004B27CA">
        <w:rPr>
          <w:rFonts w:ascii="Times New Roman" w:eastAsia="Times New Roman" w:hAnsi="Times New Roman" w:cs="Times New Roman"/>
          <w:color w:val="000000" w:themeColor="text1"/>
          <w:sz w:val="24"/>
          <w:szCs w:val="24"/>
        </w:rPr>
        <w:t xml:space="preserve"> (__________ гривень __ копійок). </w:t>
      </w:r>
    </w:p>
    <w:p w:rsidR="00CA5AA0" w:rsidRPr="004B27CA"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4B27CA" w:rsidRDefault="00F41F9E"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4"/>
          <w:szCs w:val="24"/>
        </w:rPr>
      </w:pPr>
      <w:r w:rsidRPr="004B27CA">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4B27CA" w:rsidRDefault="004B27CA"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0"/>
          <w:szCs w:val="20"/>
        </w:rPr>
      </w:pPr>
    </w:p>
    <w:p w:rsidR="004B27CA" w:rsidRPr="004B27CA" w:rsidRDefault="004B27CA" w:rsidP="004B27CA">
      <w:pPr>
        <w:pStyle w:val="normal"/>
        <w:widowControl w:val="0"/>
        <w:pBdr>
          <w:top w:val="nil"/>
          <w:left w:val="nil"/>
          <w:bottom w:val="nil"/>
          <w:right w:val="nil"/>
          <w:between w:val="nil"/>
        </w:pBdr>
        <w:spacing w:line="240" w:lineRule="auto"/>
        <w:ind w:right="147"/>
        <w:rPr>
          <w:rFonts w:ascii="Times New Roman" w:eastAsia="Times New Roman" w:hAnsi="Times New Roman" w:cs="Times New Roman"/>
          <w:color w:val="000000" w:themeColor="text1"/>
          <w:sz w:val="20"/>
          <w:szCs w:val="20"/>
        </w:rPr>
      </w:pPr>
    </w:p>
    <w:p w:rsidR="004B27CA" w:rsidRDefault="004B27CA" w:rsidP="004B27C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7"/>
        <w:gridCol w:w="5208"/>
      </w:tblGrid>
      <w:tr w:rsidR="004B27CA" w:rsidTr="00D1783D">
        <w:tc>
          <w:tcPr>
            <w:tcW w:w="5207" w:type="dxa"/>
          </w:tcPr>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4B27CA" w:rsidRPr="006A6FA1" w:rsidRDefault="004B27CA" w:rsidP="00D1783D">
            <w:pPr>
              <w:jc w:val="cente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r>
      <w:tr w:rsidR="004B27CA" w:rsidTr="00D1783D">
        <w:tc>
          <w:tcPr>
            <w:tcW w:w="5207" w:type="dxa"/>
          </w:tcPr>
          <w:p w:rsidR="004B27CA" w:rsidRPr="006A6FA1" w:rsidRDefault="004B27CA" w:rsidP="00D1783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p>
        </w:tc>
        <w:tc>
          <w:tcPr>
            <w:tcW w:w="5208" w:type="dxa"/>
          </w:tcPr>
          <w:p w:rsidR="004B27CA" w:rsidRPr="006570CA" w:rsidRDefault="004B27CA" w:rsidP="00D1783D">
            <w:pPr>
              <w:rPr>
                <w:rFonts w:ascii="Times New Roman" w:hAnsi="Times New Roman" w:cs="Times New Roman"/>
                <w:b/>
                <w:color w:val="000000" w:themeColor="text1"/>
                <w:sz w:val="24"/>
                <w:szCs w:val="24"/>
              </w:rPr>
            </w:pPr>
            <w:r w:rsidRPr="006570CA">
              <w:rPr>
                <w:rFonts w:ascii="Times New Roman" w:hAnsi="Times New Roman" w:cs="Times New Roman"/>
                <w:b/>
                <w:color w:val="000000" w:themeColor="text1"/>
                <w:sz w:val="24"/>
                <w:szCs w:val="24"/>
              </w:rPr>
              <w:t>Директор     ________  Наталія  ЦАРЕНОК</w:t>
            </w:r>
          </w:p>
          <w:p w:rsidR="004B27CA" w:rsidRDefault="004B27CA" w:rsidP="00D1783D">
            <w:pPr>
              <w:pStyle w:val="normal"/>
              <w:widowControl w:val="0"/>
              <w:ind w:right="57"/>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М.П.</w:t>
            </w:r>
          </w:p>
        </w:tc>
      </w:tr>
    </w:tbl>
    <w:p w:rsidR="00CA5AA0" w:rsidRPr="006A6FA1" w:rsidRDefault="00CA5AA0" w:rsidP="004B27C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sectPr w:rsidR="00CA5AA0"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632D9"/>
    <w:rsid w:val="0006520A"/>
    <w:rsid w:val="0008653E"/>
    <w:rsid w:val="00154E3C"/>
    <w:rsid w:val="001F138B"/>
    <w:rsid w:val="002019F3"/>
    <w:rsid w:val="002A27F4"/>
    <w:rsid w:val="002B4844"/>
    <w:rsid w:val="002C7F0C"/>
    <w:rsid w:val="002E183E"/>
    <w:rsid w:val="00322BCF"/>
    <w:rsid w:val="00375D43"/>
    <w:rsid w:val="003D28D0"/>
    <w:rsid w:val="00485086"/>
    <w:rsid w:val="004B27CA"/>
    <w:rsid w:val="00505EBE"/>
    <w:rsid w:val="00515BB9"/>
    <w:rsid w:val="00544CF7"/>
    <w:rsid w:val="00592578"/>
    <w:rsid w:val="006647B9"/>
    <w:rsid w:val="006A6FA1"/>
    <w:rsid w:val="006C4452"/>
    <w:rsid w:val="006E47B1"/>
    <w:rsid w:val="006F3A44"/>
    <w:rsid w:val="0073756A"/>
    <w:rsid w:val="00741BF8"/>
    <w:rsid w:val="007C68B2"/>
    <w:rsid w:val="007E1ADE"/>
    <w:rsid w:val="008449E2"/>
    <w:rsid w:val="00A060C2"/>
    <w:rsid w:val="00A45A37"/>
    <w:rsid w:val="00A777BD"/>
    <w:rsid w:val="00AE761D"/>
    <w:rsid w:val="00B10AFE"/>
    <w:rsid w:val="00B20ADC"/>
    <w:rsid w:val="00B26C4B"/>
    <w:rsid w:val="00C1077E"/>
    <w:rsid w:val="00C11903"/>
    <w:rsid w:val="00C75AAF"/>
    <w:rsid w:val="00CA5AA0"/>
    <w:rsid w:val="00CE64E2"/>
    <w:rsid w:val="00CF406F"/>
    <w:rsid w:val="00D80AB8"/>
    <w:rsid w:val="00DE0A6F"/>
    <w:rsid w:val="00E05342"/>
    <w:rsid w:val="00E07381"/>
    <w:rsid w:val="00E6554A"/>
    <w:rsid w:val="00F23B07"/>
    <w:rsid w:val="00F41F9E"/>
    <w:rsid w:val="00F50EE9"/>
    <w:rsid w:val="00F56A4B"/>
    <w:rsid w:val="00F84790"/>
    <w:rsid w:val="00FC24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 w:type="table" w:styleId="ab">
    <w:name w:val="Table Grid"/>
    <w:basedOn w:val="a1"/>
    <w:uiPriority w:val="59"/>
    <w:rsid w:val="004B27C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8B21-750D-4041-8F5C-4AA22CDA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15220</Words>
  <Characters>8676</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23</cp:revision>
  <dcterms:created xsi:type="dcterms:W3CDTF">2023-09-28T08:15:00Z</dcterms:created>
  <dcterms:modified xsi:type="dcterms:W3CDTF">2024-01-10T06:38:00Z</dcterms:modified>
</cp:coreProperties>
</file>