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6" w:rsidRPr="009A1F16" w:rsidRDefault="009A1F16" w:rsidP="009A1F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b/>
          <w:color w:val="000000"/>
          <w:sz w:val="20"/>
          <w:szCs w:val="20"/>
        </w:rPr>
        <w:t>ДОДАТОК  3</w:t>
      </w:r>
    </w:p>
    <w:p w:rsidR="009A1F16" w:rsidRPr="009A1F16" w:rsidRDefault="009A1F16" w:rsidP="009A1F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b/>
          <w:color w:val="000000"/>
          <w:sz w:val="20"/>
          <w:szCs w:val="20"/>
        </w:rPr>
        <w:t>до тендерної документації</w:t>
      </w:r>
    </w:p>
    <w:p w:rsidR="009A1F16" w:rsidRPr="009A1F16" w:rsidRDefault="009A1F16" w:rsidP="009A1F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A1F16" w:rsidRPr="009A1F16" w:rsidRDefault="009A1F16" w:rsidP="009A1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2"/>
          <w:sz w:val="20"/>
          <w:szCs w:val="20"/>
          <w:lang w:eastAsia="zh-CN"/>
        </w:rPr>
      </w:pPr>
      <w:r w:rsidRPr="009A1F16">
        <w:rPr>
          <w:rFonts w:ascii="Times New Roman" w:eastAsia="Times New Roman" w:hAnsi="Times New Roman" w:cs="Times New Roman"/>
          <w:caps/>
          <w:spacing w:val="12"/>
          <w:sz w:val="20"/>
          <w:szCs w:val="20"/>
          <w:lang w:eastAsia="zh-CN"/>
        </w:rPr>
        <w:t>ПРОЄКТ</w:t>
      </w:r>
    </w:p>
    <w:p w:rsidR="009A1F16" w:rsidRPr="009A1F16" w:rsidRDefault="009A1F16" w:rsidP="009A1F16">
      <w:pPr>
        <w:tabs>
          <w:tab w:val="left" w:pos="9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ДОГОВІ</w:t>
      </w:r>
      <w:proofErr w:type="gramStart"/>
      <w:r w:rsidRPr="009A1F1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b/>
          <w:sz w:val="20"/>
          <w:szCs w:val="20"/>
        </w:rPr>
        <w:t xml:space="preserve">  ПРО ЗАКУПІВЛЮ №______</w:t>
      </w:r>
    </w:p>
    <w:p w:rsidR="009A1F16" w:rsidRPr="009A1F16" w:rsidRDefault="009A1F16" w:rsidP="009A1F16">
      <w:pPr>
        <w:tabs>
          <w:tab w:val="left" w:pos="9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pStyle w:val="a3"/>
        <w:ind w:firstLine="510"/>
        <w:jc w:val="both"/>
        <w:rPr>
          <w:b w:val="0"/>
          <w:color w:val="auto"/>
          <w:lang w:val="uk-UA"/>
        </w:rPr>
      </w:pPr>
      <w:bookmarkStart w:id="0" w:name="24"/>
      <w:bookmarkEnd w:id="0"/>
      <w:r w:rsidRPr="009A1F16">
        <w:rPr>
          <w:b w:val="0"/>
          <w:color w:val="auto"/>
          <w:lang w:val="uk-UA"/>
        </w:rPr>
        <w:t xml:space="preserve">с-ще.Літин                      </w:t>
      </w:r>
      <w:r w:rsidRPr="009A1F16">
        <w:rPr>
          <w:b w:val="0"/>
          <w:color w:val="auto"/>
          <w:lang w:val="uk-UA"/>
        </w:rPr>
        <w:tab/>
      </w:r>
      <w:r w:rsidRPr="009A1F16">
        <w:rPr>
          <w:b w:val="0"/>
          <w:color w:val="auto"/>
          <w:lang w:val="uk-UA"/>
        </w:rPr>
        <w:tab/>
      </w:r>
      <w:r w:rsidRPr="009A1F16">
        <w:rPr>
          <w:b w:val="0"/>
          <w:color w:val="auto"/>
          <w:lang w:val="uk-UA"/>
        </w:rPr>
        <w:tab/>
      </w:r>
      <w:r w:rsidRPr="009A1F16">
        <w:rPr>
          <w:b w:val="0"/>
          <w:color w:val="auto"/>
          <w:lang w:val="uk-UA"/>
        </w:rPr>
        <w:tab/>
      </w:r>
      <w:r w:rsidRPr="009A1F16">
        <w:rPr>
          <w:b w:val="0"/>
          <w:color w:val="auto"/>
          <w:lang w:val="uk-UA"/>
        </w:rPr>
        <w:tab/>
      </w:r>
      <w:r w:rsidRPr="009A1F16">
        <w:rPr>
          <w:b w:val="0"/>
          <w:color w:val="auto"/>
          <w:lang w:val="uk-UA"/>
        </w:rPr>
        <w:tab/>
        <w:t xml:space="preserve"> ______________ 2024 року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</w:pP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F16">
        <w:rPr>
          <w:rFonts w:ascii="Times New Roman" w:eastAsia="Times New Roman" w:hAnsi="Times New Roman" w:cs="Times New Roman"/>
          <w:b/>
          <w:sz w:val="20"/>
          <w:szCs w:val="20"/>
        </w:rPr>
        <w:t>ЗАМОВНИК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A1F16">
        <w:rPr>
          <w:rFonts w:ascii="Times New Roman" w:eastAsia="Times New Roman" w:hAnsi="Times New Roman" w:cs="Times New Roman"/>
          <w:b/>
          <w:sz w:val="20"/>
          <w:szCs w:val="20"/>
        </w:rPr>
        <w:t>Літинська селищна рада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1F16">
        <w:rPr>
          <w:rFonts w:ascii="Times New Roman" w:eastAsia="Times New Roman" w:hAnsi="Times New Roman" w:cs="Times New Roman"/>
          <w:b/>
          <w:sz w:val="20"/>
          <w:szCs w:val="20"/>
        </w:rPr>
        <w:t>Вінницького району Вінницької області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 в особі ____________________________________________________________________________, який/а діє на </w:t>
      </w:r>
      <w:proofErr w:type="gramStart"/>
      <w:r w:rsidRPr="009A1F1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ідставі ЗУ «Про місцеве самоврядування в Україні», з однієї сторони,  та </w:t>
      </w:r>
    </w:p>
    <w:p w:rsidR="009A1F16" w:rsidRPr="009A1F16" w:rsidRDefault="009A1F16" w:rsidP="009A1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1F16">
        <w:rPr>
          <w:rFonts w:ascii="Times New Roman" w:eastAsia="Times New Roman" w:hAnsi="Times New Roman" w:cs="Times New Roman"/>
          <w:b/>
          <w:sz w:val="20"/>
          <w:szCs w:val="20"/>
        </w:rPr>
        <w:t>ВИКОНАВЕЦЬ:______________________________________________________________________________в о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собі____________________________________________,  який/а діє на </w:t>
      </w:r>
      <w:proofErr w:type="gramStart"/>
      <w:r w:rsidRPr="009A1F1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eastAsia="Times New Roman" w:hAnsi="Times New Roman" w:cs="Times New Roman"/>
          <w:sz w:val="20"/>
          <w:szCs w:val="20"/>
        </w:rPr>
        <w:t>ідставі ___________________________________, з іншої сторони, (кожна окремо – Сторона, а разом – Сторони), уклали даний договір про закупівлю (далі – Договір)  про наступне:</w:t>
      </w:r>
    </w:p>
    <w:p w:rsidR="009A1F16" w:rsidRPr="009A1F16" w:rsidRDefault="009A1F16" w:rsidP="009A1F16">
      <w:pPr>
        <w:pStyle w:val="a3"/>
        <w:ind w:firstLine="510"/>
        <w:rPr>
          <w:b w:val="0"/>
          <w:i/>
          <w:color w:val="auto"/>
          <w:lang w:val="uk-UA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 w:eastAsia="en-US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1. ПРЕДМЕТ ДОГОВОРУ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1.1. Виконавець зобов'язується надати Замовнику послуги, зазначені в п.1.2 Договору, а Замовник - прийняти і оплатити такі послуги.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1.2. 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>Предмет договору</w:t>
      </w:r>
      <w:proofErr w:type="gramStart"/>
      <w:r w:rsidRPr="009A1F1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A1F16">
        <w:rPr>
          <w:rFonts w:ascii="Times New Roman" w:hAnsi="Times New Roman" w:cs="Times New Roman"/>
          <w:sz w:val="20"/>
          <w:szCs w:val="20"/>
          <w:lang w:eastAsia="ar-SA"/>
        </w:rPr>
        <w:t>«</w:t>
      </w:r>
      <w:proofErr w:type="gramEnd"/>
      <w:r w:rsidRPr="009A1F16">
        <w:rPr>
          <w:rFonts w:ascii="Times New Roman" w:hAnsi="Times New Roman" w:cs="Times New Roman"/>
          <w:b/>
          <w:sz w:val="20"/>
          <w:szCs w:val="20"/>
        </w:rPr>
        <w:t>Послуги з вирізання порослі</w:t>
      </w:r>
      <w:r w:rsidRPr="009A1F16">
        <w:rPr>
          <w:rFonts w:ascii="Times New Roman" w:hAnsi="Times New Roman" w:cs="Times New Roman"/>
          <w:sz w:val="20"/>
          <w:szCs w:val="20"/>
        </w:rPr>
        <w:t>» (ДК 021:2015 «Єдиний закупівельний словник»:</w:t>
      </w:r>
      <w:r w:rsidRPr="009A1F16">
        <w:rPr>
          <w:rFonts w:ascii="Times New Roman" w:hAnsi="Times New Roman" w:cs="Times New Roman"/>
          <w:color w:val="000000"/>
          <w:sz w:val="20"/>
          <w:szCs w:val="20"/>
        </w:rPr>
        <w:t xml:space="preserve"> 77340000-5 — Підрізання дерев і живих огорож</w:t>
      </w:r>
      <w:r w:rsidRPr="009A1F16">
        <w:rPr>
          <w:rFonts w:ascii="Times New Roman" w:hAnsi="Times New Roman" w:cs="Times New Roman"/>
          <w:sz w:val="20"/>
          <w:szCs w:val="20"/>
        </w:rPr>
        <w:t>).</w:t>
      </w:r>
    </w:p>
    <w:p w:rsidR="009A1F16" w:rsidRPr="009A1F16" w:rsidRDefault="009A1F16" w:rsidP="009A1F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1.3. Перелік послуг, їх кількість та вартість визначено у Додатку № 1 «ПЕРЕЛІК ПОСЛУГ» та Додатку № 2 «СПЕЦИФІКАЦІЯ»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Договору, що є його невід’ємними частинами. </w:t>
      </w:r>
    </w:p>
    <w:p w:rsidR="009A1F16" w:rsidRPr="009A1F16" w:rsidRDefault="009A1F16" w:rsidP="009A1F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1.4. Якщо відбулося скорочення видатків Замовника на здійснення закупі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послуг зазначених в п.1.2 Договору, Замовник зменшує обсяги надання послуг з урахуванням фактичного обсягу видатків шляхом укладання додаткової угоди до цього Договору.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2. ПОРЯДОК НАДАННЯ ПОСЛУГ</w:t>
      </w:r>
    </w:p>
    <w:p w:rsidR="009A1F16" w:rsidRPr="009A1F16" w:rsidRDefault="009A1F16" w:rsidP="009A1F16">
      <w:pPr>
        <w:spacing w:after="0" w:line="240" w:lineRule="auto"/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2.1.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Місце надання послуг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A1F16">
        <w:rPr>
          <w:rFonts w:ascii="Times New Roman" w:hAnsi="Times New Roman" w:cs="Times New Roman"/>
          <w:sz w:val="20"/>
          <w:szCs w:val="20"/>
        </w:rPr>
        <w:t xml:space="preserve">відповідно  до Додатку 1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договору «ПЕРЕЛІК ПОСЛУГ»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9A1F16" w:rsidRPr="009A1F16" w:rsidRDefault="009A1F16" w:rsidP="009A1F16">
      <w:pPr>
        <w:spacing w:after="0" w:line="240" w:lineRule="auto"/>
        <w:ind w:right="1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2.2. Строк надання послуг: з дня укладення договору </w:t>
      </w:r>
      <w:r w:rsidRPr="009A1F16">
        <w:rPr>
          <w:rFonts w:ascii="Times New Roman" w:hAnsi="Times New Roman" w:cs="Times New Roman"/>
          <w:b/>
          <w:sz w:val="20"/>
          <w:szCs w:val="20"/>
        </w:rPr>
        <w:t>до 15.05.2024 року.</w:t>
      </w:r>
    </w:p>
    <w:p w:rsidR="009A1F16" w:rsidRPr="009A1F16" w:rsidRDefault="009A1F16" w:rsidP="009A1F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2.3.Послуги надаються інвентарем, обладнанням і матеріалами Виконавця.</w:t>
      </w:r>
    </w:p>
    <w:p w:rsidR="009A1F16" w:rsidRPr="009A1F16" w:rsidRDefault="009A1F16" w:rsidP="009A1F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2.4. До вартості послуг включаються витрати, пов’язані з навантаженням, транспортуванням до місць складування або захоронення відходів, утворених внаслідок надання послуг з території Замовника, вартість використання техніки та обладнання, паливно-мастильних матеріалів та інші витрати Учасника  згідно з чинним законодавством.</w:t>
      </w:r>
    </w:p>
    <w:p w:rsidR="009A1F16" w:rsidRPr="009A1F16" w:rsidRDefault="009A1F16" w:rsidP="009A1F16">
      <w:pPr>
        <w:pStyle w:val="a3"/>
        <w:tabs>
          <w:tab w:val="left" w:pos="425"/>
        </w:tabs>
        <w:jc w:val="both"/>
        <w:rPr>
          <w:b w:val="0"/>
          <w:color w:val="auto"/>
        </w:rPr>
      </w:pPr>
      <w:r w:rsidRPr="009A1F16">
        <w:rPr>
          <w:b w:val="0"/>
          <w:color w:val="000000"/>
          <w:lang w:val="uk-UA"/>
        </w:rPr>
        <w:t>2.5. Виконавець відповідає за чистоту у місці надання послуг та</w:t>
      </w:r>
      <w:r w:rsidRPr="009A1F16">
        <w:rPr>
          <w:b w:val="0"/>
          <w:color w:val="auto"/>
        </w:rPr>
        <w:t xml:space="preserve"> зобов’язаний  передати територію в належному санітарному стані, а саме: очищену від гілок, сміття, тощо.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2.6. Прийом – передача наданих послуг виконується шляхом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ідписання уповноваженими представниками Сторін актів прийому-передачі наданих послуг, які складає Виконавець з відображенням фактичних обсягів послуг наданих за відповідний період.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2.7. В разі виявлення неякісних або не в повному обсязі наданих послуг Виконавцем, про що представниками Замовника за результатами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перев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ірки складається акт-претензія, Замовник не сплачує Виконавцю за ненадані обсяги послуг або за неякісно виконані послуги (згідно складеного акту-претензії).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gramStart"/>
      <w:r w:rsidRPr="009A1F16">
        <w:rPr>
          <w:rFonts w:ascii="Times New Roman" w:hAnsi="Times New Roman" w:cs="Times New Roman"/>
          <w:b/>
          <w:sz w:val="20"/>
          <w:szCs w:val="20"/>
        </w:rPr>
        <w:t>Ц</w:t>
      </w:r>
      <w:proofErr w:type="gramEnd"/>
      <w:r w:rsidRPr="009A1F16">
        <w:rPr>
          <w:rFonts w:ascii="Times New Roman" w:hAnsi="Times New Roman" w:cs="Times New Roman"/>
          <w:b/>
          <w:sz w:val="20"/>
          <w:szCs w:val="20"/>
        </w:rPr>
        <w:t>ІНА ДОГОВОРУ</w:t>
      </w:r>
    </w:p>
    <w:p w:rsidR="009A1F16" w:rsidRPr="009A1F16" w:rsidRDefault="009A1F16" w:rsidP="009A1F16">
      <w:pPr>
        <w:pStyle w:val="a3"/>
        <w:tabs>
          <w:tab w:val="left" w:pos="9639"/>
        </w:tabs>
        <w:ind w:right="154"/>
        <w:jc w:val="both"/>
        <w:rPr>
          <w:b w:val="0"/>
          <w:bCs w:val="0"/>
          <w:color w:val="auto"/>
          <w:lang w:val="uk-UA"/>
        </w:rPr>
      </w:pPr>
      <w:r w:rsidRPr="009A1F16">
        <w:rPr>
          <w:b w:val="0"/>
          <w:bCs w:val="0"/>
          <w:color w:val="auto"/>
          <w:lang/>
        </w:rPr>
        <w:t xml:space="preserve">3.1. Ціна Договору </w:t>
      </w:r>
      <w:r w:rsidRPr="009A1F16">
        <w:rPr>
          <w:b w:val="0"/>
          <w:bCs w:val="0"/>
          <w:color w:val="auto"/>
          <w:lang w:val="uk-UA"/>
        </w:rPr>
        <w:t xml:space="preserve">визначена на підставі Додатку № 2 «СПЕЦИФІКАЦІЯ» до Договору та </w:t>
      </w:r>
      <w:r w:rsidRPr="009A1F16">
        <w:rPr>
          <w:b w:val="0"/>
          <w:bCs w:val="0"/>
          <w:color w:val="auto"/>
          <w:lang/>
        </w:rPr>
        <w:t xml:space="preserve">становить </w:t>
      </w:r>
      <w:r w:rsidRPr="009A1F16">
        <w:rPr>
          <w:bCs w:val="0"/>
          <w:color w:val="auto"/>
          <w:lang w:val="uk-UA"/>
        </w:rPr>
        <w:t>___________</w:t>
      </w:r>
      <w:r w:rsidRPr="009A1F16">
        <w:rPr>
          <w:b w:val="0"/>
          <w:bCs w:val="0"/>
          <w:color w:val="auto"/>
          <w:lang w:val="uk-UA"/>
        </w:rPr>
        <w:t xml:space="preserve"> ( ________) </w:t>
      </w:r>
      <w:r w:rsidRPr="009A1F16">
        <w:rPr>
          <w:bCs w:val="0"/>
          <w:color w:val="auto"/>
          <w:lang w:val="uk-UA"/>
        </w:rPr>
        <w:t>з/без ПДВ</w:t>
      </w:r>
      <w:r w:rsidRPr="009A1F16">
        <w:rPr>
          <w:b w:val="0"/>
          <w:bCs w:val="0"/>
          <w:color w:val="auto"/>
          <w:lang w:val="uk-UA"/>
        </w:rPr>
        <w:t>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іна Договору залежить від фактичного обсягу видатків Замовника і може бути зменшена шляхом укладання додаткової угоди до цього Договору.</w:t>
      </w:r>
    </w:p>
    <w:p w:rsidR="009A1F16" w:rsidRPr="009A1F16" w:rsidRDefault="009A1F16" w:rsidP="009A1F16">
      <w:pPr>
        <w:spacing w:after="0" w:line="240" w:lineRule="auto"/>
        <w:ind w:right="10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3.3. Вартість послуг, які надаються Виконавцем враховує вартість: витратних матеріалів, доставки обладнання, необхідної техніки та працівників на місце виконання послуг, навантаження та транспортування утворених відходів та всі інші обов’язкові витрати Виконавця, необхідні для надання послуг, згідно з чинним законодавством.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4. ПОРЯДОК ЗДІЙСНЕННЯ ОПЛАТИ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4.1. Розрахунки проводяться Замовником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ісля підписання Сторонами акту прийому-передачі наданих послуг (частини послуг) (далі – Акт)  протягом 10 робочих днів.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4.2. Акти повинні бути належним чином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оформлен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4.3. Розрахунки за надані послуги здійснюються на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ідставі Бюджетного кодексу України та за рахунок коштів місцевого бюджету.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4.4. У разі затримки бюджетного фінансування, розрахунки за надані послуги здійснюється протягом 7 робочих днів з дати отримання Замовником бюджетного призначення на фінансування закупі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на реєстраційний рахунок Замовника.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5. ПРАВА ТА ОБОВ'ЯЗКИ СТОРІН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5.1. </w:t>
      </w:r>
      <w:r w:rsidRPr="009A1F16">
        <w:rPr>
          <w:rFonts w:ascii="Times New Roman" w:hAnsi="Times New Roman" w:cs="Times New Roman"/>
          <w:b/>
          <w:sz w:val="20"/>
          <w:szCs w:val="20"/>
        </w:rPr>
        <w:t>Замовник зобов'язаний: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5.1.1. Приймати надані послуги згідно з Актом не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ізніше 3-х робочих днів з моменту отримання Акту від Виконавця або в той же термін надати Виконавцю письмову обґрунтовану відмову в прийнятті послуг;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5.1.2. Своєчасно та в повному обсязі оплачувати надані Виконавцем та прийняті Замовником послуги.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5.2. 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Замовник має право: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5.2.1. У разі систематичного невиконання або (та) неякісного виконання Виконавцем послуг (при наявності документального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ідтвердження двох або більше таких фактів), достроково розірвати укладений Договір в односторонньому порядку, повідомивши про це Виконавця не пізніше 20 днів до розірвання Договору;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5.2.2. Контролювати протягом дії Договору якість надання послуг та термін їх виконання;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5.2.3. Зменшувати обсяг надання послуг та загальну ціну цього Договору залежно від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фактичного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обсягу видатків, шляхом укладання з Виконавцем Додаткової угоди;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5.2.4. Повертати Виконавцю Акти без здійснення оплати в разі їх неналежного оформлення,  згідно умов зазначених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пункті 4.2. цього Договору;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5.2.5. В разі виявлення неякісного або не в повному обсязі надання послуг Виконавцем, про що представниками Замовника за результатами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перев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ірки складається акт-претензія, Замовник не сплачує Виконавцю за ненадані обсяги послуг або за неякісно виконані послуги (згідно складеного акту-претензії);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5.3. 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Виконавець зобов'язаний: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5.3.1. Забезпечити надання послуг в обсягах та у строки, встановлені Замовником;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5.3.2. Забезпечити надання послуг належної якості та в повному обсязі;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5.4. </w:t>
      </w:r>
      <w:r w:rsidRPr="009A1F16">
        <w:rPr>
          <w:rFonts w:ascii="Times New Roman" w:hAnsi="Times New Roman" w:cs="Times New Roman"/>
          <w:b/>
          <w:sz w:val="20"/>
          <w:szCs w:val="20"/>
        </w:rPr>
        <w:t xml:space="preserve">Виконавець має право: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5.4.1. Своєчасно та в повному обсязі отримувати плату за фактично надані та прийняті Замовником послуги;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5.4.2. У разі систематичного невиконання зобов'язань Замовником (крім умови, зазначеної у п.4.4.цього Договору), Виконавець має право достроково розірвати цей 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, повідомивши про це Замовника у строк не пізніше ніж за 20 днів до розірвання Договору.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6. ВІДПОВІДАЛЬНІСТЬ СТОРІН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6.1.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невиконання або несвоєчасного/неякісного виконання зобов'язань при наданні послуг Виконавець сплачує Замовнику штрафні санкції передбачені частиною 2 статті 231 Господарського кодексу України.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6.3. В разі затримки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бюджетного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фінансування Замовник не несе відповідальності за несвоєчасну оплату, а здійснює її згідно п.4.4 Договору.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7. ОБСТАВИНИ НЕПЕРЕБОРНОЇ СИЛИ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ід час укладання Договору та виникли поза волею Сторін (аварія, катастрофа, стихійне лихо, епідемія, епізоотія, війна, тощо).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7.2. Сторона, що не може виконувати зобов'язання за цим Договором у наслідок дії обставин непереборної сили, повинна не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ізніше ніж протягом 3 днів з моменту їх виникнення повідомити про це іншу Сторону у письмовій формі.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7.3. Доказом виникнення обставин непереборної сили та строку їх дії є відповідні документи,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складен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уповноваженим на це органом або установою.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7.4.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8. ВИРІШЕННЯ СПОРІ</w:t>
      </w:r>
      <w:proofErr w:type="gramStart"/>
      <w:r w:rsidRPr="009A1F16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8.1. У випадку виникнення спорів або розбіжностей Сторони зобов'язуються вирішувати їх шляхом взаємних переговорі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та консультацій.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8.2.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9. ПОРЯДОК ЗМІН УМОВ ДОГОВОРУ ТА РОЗІРВАННЯ ДОГОВОРУ</w:t>
      </w:r>
    </w:p>
    <w:p w:rsidR="009A1F16" w:rsidRPr="009A1F16" w:rsidRDefault="009A1F16" w:rsidP="009A1F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9.1. Зміни в цей 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можуть бути внесені за взаємною згодою Сторін, що оформлюються додатковою угодою до цього Договору. Зміни та доповнення, додаткові угоди та додатки до цього Договору є його </w:t>
      </w:r>
      <w:r w:rsidRPr="009A1F16">
        <w:rPr>
          <w:rFonts w:ascii="Times New Roman" w:hAnsi="Times New Roman" w:cs="Times New Roman"/>
          <w:sz w:val="20"/>
          <w:szCs w:val="20"/>
        </w:rPr>
        <w:lastRenderedPageBreak/>
        <w:t xml:space="preserve">невід’ємною частиною і мають юридичну силу у випадку, якщо вони викладені у письмовій формі та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ідписані уповноваженими на те представниками Сторін.</w:t>
      </w:r>
    </w:p>
    <w:p w:rsidR="009A1F16" w:rsidRPr="009A1F16" w:rsidRDefault="009A1F16" w:rsidP="009A1F1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9.2. Істотні умови цього Договору можуть змінюватися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ісля його підписання до виконання зобов’язань Сторонами лише в порядку передбаченому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ів України від 12.10.2022 № 1178 (із змінами та доповненнями), а саме у випадках: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1) зменшення обсягів закупі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і, зокрема з урахуванням фактичного обсягу видатків замовника;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2) покращення якості предмета закупі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за умови, що таке покращення не призведе до збільшення суми, визначеної в договорі про закупівлю;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3) погодження зміни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іни в договорі про закупівлю в бік зменшення (без зміни кількості (обсягу) та якості товарів, робіт і послуг);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4) зміни ціни в договорі про закупівлю у зв'язку з зміною ставок податків і зборів та/або зміною умов щодо надання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ільг з оподаткування - пропорційно до зміни таких ставок та/або пільг з оподаткування, а також у зв'язку із зміною системи оподаткування пропорційно до зміни податкового навантаження внаслідок зміни системи оподаткування;</w:t>
      </w:r>
    </w:p>
    <w:p w:rsidR="009A1F16" w:rsidRPr="009A1F16" w:rsidRDefault="009A1F16" w:rsidP="009A1F16">
      <w:pPr>
        <w:pStyle w:val="Bodytext1"/>
        <w:shd w:val="clear" w:color="auto" w:fill="auto"/>
        <w:tabs>
          <w:tab w:val="left" w:pos="-8025"/>
        </w:tabs>
        <w:spacing w:after="0" w:line="240" w:lineRule="auto"/>
        <w:ind w:right="-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b/>
          <w:sz w:val="20"/>
          <w:szCs w:val="20"/>
        </w:rPr>
        <w:t>.3. Порядок внесення</w:t>
      </w:r>
      <w:r w:rsidRPr="009A1F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b/>
          <w:sz w:val="20"/>
          <w:szCs w:val="20"/>
        </w:rPr>
        <w:t>змі</w:t>
      </w:r>
      <w:proofErr w:type="gramStart"/>
      <w:r w:rsidRPr="009A1F16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Pr="009A1F16">
        <w:rPr>
          <w:rFonts w:ascii="Times New Roman" w:hAnsi="Times New Roman" w:cs="Times New Roman"/>
          <w:b/>
          <w:sz w:val="20"/>
          <w:szCs w:val="20"/>
        </w:rPr>
        <w:t xml:space="preserve"> до Договору: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.3.1. Сторона, яка є ініціатором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внесення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 до Договору зобов’язана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направити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 xml:space="preserve">Стороні у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письмовій формі</w:t>
      </w:r>
      <w:r w:rsidRPr="009A1F16">
        <w:rPr>
          <w:rFonts w:ascii="Times New Roman" w:hAnsi="Times New Roman" w:cs="Times New Roman"/>
          <w:sz w:val="20"/>
          <w:szCs w:val="20"/>
        </w:rPr>
        <w:t xml:space="preserve"> таку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пропозицію з обов’язковим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обґрунтуванням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необхідності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такої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зміни та відповідним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документальним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ідтвердженням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наявності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обставин, наведених у такій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пропозиції, а також проект додаткової угоди до Договору (у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необхідності).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.3.2. Сторона, яка отримала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Сторони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 xml:space="preserve">передбачену п.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 xml:space="preserve">.3.1. Договору пропозицію, повинна протягом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20 денного строку розглянути пропозицію,</w:t>
      </w:r>
      <w:r w:rsidRPr="009A1F16">
        <w:rPr>
          <w:rFonts w:ascii="Times New Roman" w:hAnsi="Times New Roman" w:cs="Times New Roman"/>
          <w:sz w:val="20"/>
          <w:szCs w:val="20"/>
        </w:rPr>
        <w:t xml:space="preserve">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згоди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оформити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такі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зміни додатковою угодою до Договору  або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направити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Стороні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обґрунтовану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відмову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внесення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запропонованих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 до Договору, а також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ільності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чи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необхідності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свій проект змін (додаткової угоди) до Договору.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.3.3.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9A1F16">
        <w:rPr>
          <w:rFonts w:ascii="Times New Roman" w:hAnsi="Times New Roman" w:cs="Times New Roman"/>
          <w:sz w:val="20"/>
          <w:szCs w:val="20"/>
        </w:rPr>
        <w:t>якщо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Сторони не досягли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згоди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щодо умов змін до Договору або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неотримання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відповіді на запропоновані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установлений строк, такі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зміни (додаткова угода) до Договору вважаються не внесеними до Договору (неукладеною).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 xml:space="preserve">.3.4. Узгоджені Сторонами зміни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Договору, застосовуються з моменту укладення Сторонами відповідної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додаткової угоди до Договору.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.4. Жодна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змін, необхідність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внесення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якої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пов’язана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з порушенням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Виконавцем </w:t>
      </w:r>
      <w:r w:rsidRPr="009A1F16">
        <w:rPr>
          <w:rFonts w:ascii="Times New Roman" w:hAnsi="Times New Roman" w:cs="Times New Roman"/>
          <w:sz w:val="20"/>
          <w:szCs w:val="20"/>
        </w:rPr>
        <w:t>його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зобов’язань за Договором, не повинна призвести до коригування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ціни Договору у бік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збільшення.</w:t>
      </w:r>
    </w:p>
    <w:p w:rsidR="009A1F16" w:rsidRPr="009A1F16" w:rsidRDefault="009A1F16" w:rsidP="009A1F16">
      <w:pPr>
        <w:pStyle w:val="Bodytext1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.5.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Розірвання Договору здійснюється за згодою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Сторін, окрім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випадків, передбачених Договором.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.6.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розірвання Договору за взаємною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згодою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Сторін у відповідній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додатковій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угоді до Договору про припинення (розірвання) цього Договору Сторони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визначають порядок і строки приймання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фактично та належним чином поставленого та встановленого товару, усунення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недолі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ів, здійснення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розрахунків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тощо.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 xml:space="preserve">.7.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Замовник </w:t>
      </w:r>
      <w:r w:rsidRPr="009A1F16">
        <w:rPr>
          <w:rFonts w:ascii="Times New Roman" w:hAnsi="Times New Roman" w:cs="Times New Roman"/>
          <w:sz w:val="20"/>
          <w:szCs w:val="20"/>
        </w:rPr>
        <w:t>має право в односторонньому порядку відмовитис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я </w:t>
      </w:r>
      <w:r w:rsidRPr="009A1F16">
        <w:rPr>
          <w:rFonts w:ascii="Times New Roman" w:hAnsi="Times New Roman" w:cs="Times New Roman"/>
          <w:sz w:val="20"/>
          <w:szCs w:val="20"/>
        </w:rPr>
        <w:t>від Договору та/або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розірвати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Договір з таких причин: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.7.1. Відсутність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кошті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для оплати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послуг</w:t>
      </w:r>
      <w:r w:rsidRPr="009A1F16">
        <w:rPr>
          <w:rFonts w:ascii="Times New Roman" w:hAnsi="Times New Roman" w:cs="Times New Roman"/>
          <w:sz w:val="20"/>
          <w:szCs w:val="20"/>
        </w:rPr>
        <w:t>;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.7.2. Виявлення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недоцільності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використання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кошті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для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придбання послуг</w:t>
      </w:r>
      <w:r w:rsidRPr="009A1F16">
        <w:rPr>
          <w:rFonts w:ascii="Times New Roman" w:hAnsi="Times New Roman" w:cs="Times New Roman"/>
          <w:sz w:val="20"/>
          <w:szCs w:val="20"/>
        </w:rPr>
        <w:t>, у тому числі за обставин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непереборної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сили;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 xml:space="preserve">.7.3. Затримка з вини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Виконавця надання послуг </w:t>
      </w:r>
      <w:r w:rsidRPr="009A1F16">
        <w:rPr>
          <w:rFonts w:ascii="Times New Roman" w:hAnsi="Times New Roman" w:cs="Times New Roman"/>
          <w:sz w:val="20"/>
          <w:szCs w:val="20"/>
        </w:rPr>
        <w:t>понад строки, передбачені Договором;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 xml:space="preserve">.7.4.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надав неякісні послуги </w:t>
      </w:r>
      <w:r w:rsidRPr="009A1F16">
        <w:rPr>
          <w:rFonts w:ascii="Times New Roman" w:hAnsi="Times New Roman" w:cs="Times New Roman"/>
          <w:sz w:val="20"/>
          <w:szCs w:val="20"/>
        </w:rPr>
        <w:t xml:space="preserve"> і не забезпечив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їх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усунення у визначений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Замовником</w:t>
      </w:r>
      <w:r w:rsidRPr="009A1F16">
        <w:rPr>
          <w:rFonts w:ascii="Times New Roman" w:hAnsi="Times New Roman" w:cs="Times New Roman"/>
          <w:sz w:val="20"/>
          <w:szCs w:val="20"/>
        </w:rPr>
        <w:t xml:space="preserve"> строк;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.7.5. Несплата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Виконавцем </w:t>
      </w:r>
      <w:r w:rsidRPr="009A1F16">
        <w:rPr>
          <w:rFonts w:ascii="Times New Roman" w:hAnsi="Times New Roman" w:cs="Times New Roman"/>
          <w:sz w:val="20"/>
          <w:szCs w:val="20"/>
        </w:rPr>
        <w:t>штрафних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санкцій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 xml:space="preserve">протягом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9A1F16">
        <w:rPr>
          <w:rFonts w:ascii="Times New Roman" w:hAnsi="Times New Roman" w:cs="Times New Roman"/>
          <w:sz w:val="20"/>
          <w:szCs w:val="20"/>
        </w:rPr>
        <w:t>0 (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десяти</w:t>
      </w:r>
      <w:r w:rsidRPr="009A1F16">
        <w:rPr>
          <w:rFonts w:ascii="Times New Roman" w:hAnsi="Times New Roman" w:cs="Times New Roman"/>
          <w:sz w:val="20"/>
          <w:szCs w:val="20"/>
        </w:rPr>
        <w:t xml:space="preserve">) 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робочих </w:t>
      </w:r>
      <w:r w:rsidRPr="009A1F16">
        <w:rPr>
          <w:rFonts w:ascii="Times New Roman" w:hAnsi="Times New Roman" w:cs="Times New Roman"/>
          <w:sz w:val="20"/>
          <w:szCs w:val="20"/>
        </w:rPr>
        <w:t>днів з дня отримання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відповідної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претензії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від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Замовника</w:t>
      </w:r>
      <w:r w:rsidRPr="009A1F16">
        <w:rPr>
          <w:rFonts w:ascii="Times New Roman" w:hAnsi="Times New Roman" w:cs="Times New Roman"/>
          <w:sz w:val="20"/>
          <w:szCs w:val="20"/>
        </w:rPr>
        <w:t>;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.7.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9A1F16">
        <w:rPr>
          <w:rFonts w:ascii="Times New Roman" w:hAnsi="Times New Roman" w:cs="Times New Roman"/>
          <w:sz w:val="20"/>
          <w:szCs w:val="20"/>
        </w:rPr>
        <w:t>. Банкрутств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о Виконавця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ід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банкрутством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Виконавця </w:t>
      </w:r>
      <w:r w:rsidRPr="009A1F16">
        <w:rPr>
          <w:rFonts w:ascii="Times New Roman" w:hAnsi="Times New Roman" w:cs="Times New Roman"/>
          <w:sz w:val="20"/>
          <w:szCs w:val="20"/>
        </w:rPr>
        <w:t>розуміється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визнання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його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банкрутом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господарським судом або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порушення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господарським судом справи про банкрутство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Виконавця</w:t>
      </w:r>
      <w:r w:rsidRPr="009A1F16">
        <w:rPr>
          <w:rFonts w:ascii="Times New Roman" w:hAnsi="Times New Roman" w:cs="Times New Roman"/>
          <w:sz w:val="20"/>
          <w:szCs w:val="20"/>
        </w:rPr>
        <w:t>;</w:t>
      </w:r>
    </w:p>
    <w:p w:rsidR="009A1F16" w:rsidRPr="009A1F16" w:rsidRDefault="009A1F16" w:rsidP="009A1F16">
      <w:pPr>
        <w:pStyle w:val="Bodytext1"/>
        <w:shd w:val="clear" w:color="auto" w:fill="auto"/>
        <w:tabs>
          <w:tab w:val="left" w:pos="-8025"/>
        </w:tabs>
        <w:spacing w:after="0" w:line="240" w:lineRule="auto"/>
        <w:ind w:right="-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.7.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9A1F16">
        <w:rPr>
          <w:rFonts w:ascii="Times New Roman" w:hAnsi="Times New Roman" w:cs="Times New Roman"/>
          <w:sz w:val="20"/>
          <w:szCs w:val="20"/>
        </w:rPr>
        <w:t>. У випадку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смерті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Виконавця</w:t>
      </w:r>
      <w:r w:rsidRPr="009A1F16">
        <w:rPr>
          <w:rFonts w:ascii="Times New Roman" w:hAnsi="Times New Roman" w:cs="Times New Roman"/>
          <w:sz w:val="20"/>
          <w:szCs w:val="20"/>
        </w:rPr>
        <w:t>, якщо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виконання умов Договору не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розривно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пов’язано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з його особою і у зв’язку з цим не може бути виконане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іншою особою.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9A1F16">
        <w:rPr>
          <w:rFonts w:ascii="Times New Roman" w:hAnsi="Times New Roman" w:cs="Times New Roman"/>
          <w:sz w:val="20"/>
          <w:szCs w:val="20"/>
        </w:rPr>
        <w:t>. Сторона, з ініціативи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якої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розривається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, зобов’язана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компенсувати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іншій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Стороні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витрати і збитки, окрім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випадків, передбачених Договором, та у разі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розірвання Договору з вини іншої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 xml:space="preserve">Сторони. </w:t>
      </w:r>
    </w:p>
    <w:p w:rsidR="009A1F16" w:rsidRPr="009A1F16" w:rsidRDefault="009A1F16" w:rsidP="009A1F16">
      <w:pPr>
        <w:pStyle w:val="Bodytext1"/>
        <w:tabs>
          <w:tab w:val="left" w:pos="-80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9A1F16">
        <w:rPr>
          <w:rFonts w:ascii="Times New Roman" w:hAnsi="Times New Roman" w:cs="Times New Roman"/>
          <w:sz w:val="20"/>
          <w:szCs w:val="20"/>
        </w:rPr>
        <w:t>. Документи для здійснення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кінцевих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розрахунків при розірванні Договору надаються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зацікавленою Стороною протягом 15 (п’ятнадцяти) робочих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днів з моменту отримання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повідомлення/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ішення про розірвання Договору. Протягом 15 (п’ятнадцяти) робочих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днів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ісля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отримання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необхідних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документів і розрахунків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іншою Стороною проводиться оплата витрат і, у передбачених Договором випадках, збитків, зумовлених</w:t>
      </w:r>
      <w:r w:rsidRPr="009A1F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1F16">
        <w:rPr>
          <w:rFonts w:ascii="Times New Roman" w:hAnsi="Times New Roman" w:cs="Times New Roman"/>
          <w:sz w:val="20"/>
          <w:szCs w:val="20"/>
        </w:rPr>
        <w:t>розірванням Договору.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9.10. 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не втрачає чинності у разі зміни реквізитів Сторін, їх установчих документів, а також зміни організаційно-правової форми тощо. 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Про зазначені зміни Сторони у письмовій формі зобов’язані протягом 7 (семи) робочих днів повідомити одна одну та у разі неповідомлення така Сторона несе ризик настання пов’язаних із цим несприятливих наслідків. При цьому Сторони визнають юридичну силу такого листа та не здійснюють жодних додаткових дій щодо внесення змін до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Договору.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lastRenderedPageBreak/>
        <w:t>10. СТРОК ДІЇ ДОГОВОРУ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widowControl w:val="0"/>
        <w:tabs>
          <w:tab w:val="left" w:pos="0"/>
          <w:tab w:val="num" w:pos="28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10.1. </w:t>
      </w:r>
      <w:r w:rsidRPr="009A1F16">
        <w:rPr>
          <w:rFonts w:ascii="Times New Roman" w:hAnsi="Times New Roman" w:cs="Times New Roman"/>
          <w:sz w:val="20"/>
          <w:szCs w:val="20"/>
          <w:shd w:val="clear" w:color="auto" w:fill="FFFFFF"/>
        </w:rPr>
        <w:t>Даний 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набирає чинності  з дати його укладення та діє до 31.12.2024 року, а в частині взаєморозрахунків – до повного їх виконання Сторонами.</w:t>
      </w:r>
      <w:r w:rsidRPr="009A1F1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9A1F16" w:rsidRPr="009A1F16" w:rsidRDefault="009A1F16" w:rsidP="009A1F16">
      <w:pPr>
        <w:widowControl w:val="0"/>
        <w:tabs>
          <w:tab w:val="left" w:pos="0"/>
          <w:tab w:val="num" w:pos="28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10.2. Закінчення строку Договору не звільняє Сторони від відповідальності за його порушення, яке мало місце </w:t>
      </w:r>
      <w:proofErr w:type="gramStart"/>
      <w:r w:rsidRPr="009A1F16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</w:t>
      </w:r>
      <w:proofErr w:type="gramEnd"/>
      <w:r w:rsidRPr="009A1F16">
        <w:rPr>
          <w:rFonts w:ascii="Times New Roman" w:hAnsi="Times New Roman" w:cs="Times New Roman"/>
          <w:snapToGrid w:val="0"/>
          <w:color w:val="000000"/>
          <w:sz w:val="20"/>
          <w:szCs w:val="20"/>
        </w:rPr>
        <w:t>ід час дії Договору.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10.3. </w:t>
      </w:r>
      <w:r w:rsidRPr="009A1F16">
        <w:rPr>
          <w:rFonts w:ascii="Times New Roman" w:hAnsi="Times New Roman" w:cs="Times New Roman"/>
          <w:sz w:val="20"/>
          <w:szCs w:val="20"/>
        </w:rPr>
        <w:t>Дія Договору може бути продовжена на строк, достатній для проведення процедури закупі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>і на початку наступного року в обсязі, що не перевищує 20 (двадцять)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11. ІНШІ УМОВИ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11.1. Цей Догові</w:t>
      </w:r>
      <w:proofErr w:type="gramStart"/>
      <w:r w:rsidRPr="009A1F1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1F16">
        <w:rPr>
          <w:rFonts w:ascii="Times New Roman" w:hAnsi="Times New Roman" w:cs="Times New Roman"/>
          <w:sz w:val="20"/>
          <w:szCs w:val="20"/>
        </w:rPr>
        <w:t xml:space="preserve"> укладається і підписується у 2-х примірниках (1 – Замовнику, 1– Виконавцю), що мають однакову юридичну силу.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F16">
        <w:rPr>
          <w:rFonts w:ascii="Times New Roman" w:eastAsia="Times New Roman" w:hAnsi="Times New Roman" w:cs="Times New Roman"/>
          <w:sz w:val="20"/>
          <w:szCs w:val="20"/>
        </w:rPr>
        <w:t>11.2.</w:t>
      </w:r>
      <w:r w:rsidRPr="009A1F1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A1F16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 питань, що залишилися неврегульованим цим Договором, Сторони керуються відповідними положеннями Господарського та Цивільного кодексів України.</w:t>
      </w:r>
    </w:p>
    <w:p w:rsidR="009A1F16" w:rsidRPr="009A1F16" w:rsidRDefault="009A1F16" w:rsidP="009A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 xml:space="preserve">12. ДОДАТКИ </w:t>
      </w:r>
      <w:proofErr w:type="gramStart"/>
      <w:r w:rsidRPr="009A1F16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9A1F16">
        <w:rPr>
          <w:rFonts w:ascii="Times New Roman" w:hAnsi="Times New Roman" w:cs="Times New Roman"/>
          <w:b/>
          <w:sz w:val="20"/>
          <w:szCs w:val="20"/>
        </w:rPr>
        <w:t xml:space="preserve"> ДОГОВОРУ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 xml:space="preserve">12.1. </w:t>
      </w:r>
      <w:r w:rsidRPr="009A1F16">
        <w:rPr>
          <w:rFonts w:ascii="Times New Roman" w:hAnsi="Times New Roman" w:cs="Times New Roman"/>
          <w:color w:val="000000"/>
          <w:sz w:val="20"/>
          <w:szCs w:val="20"/>
        </w:rPr>
        <w:t>Невід'ємними частинами цього Договору</w:t>
      </w:r>
      <w:proofErr w:type="gramStart"/>
      <w:r w:rsidRPr="009A1F16">
        <w:rPr>
          <w:rFonts w:ascii="Times New Roman" w:hAnsi="Times New Roman" w:cs="Times New Roman"/>
          <w:color w:val="000000"/>
          <w:sz w:val="20"/>
          <w:szCs w:val="20"/>
        </w:rPr>
        <w:t xml:space="preserve"> є:</w:t>
      </w:r>
      <w:proofErr w:type="gramEnd"/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Додаток № 1 – «ПЕРЕЛІК ПОСЛУГ»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0"/>
          <w:szCs w:val="20"/>
        </w:rPr>
      </w:pPr>
      <w:r w:rsidRPr="009A1F16">
        <w:rPr>
          <w:rFonts w:ascii="Times New Roman" w:hAnsi="Times New Roman" w:cs="Times New Roman"/>
          <w:sz w:val="20"/>
          <w:szCs w:val="20"/>
        </w:rPr>
        <w:t>Додаток № 2 – «СПЕЦИФІКАЦІЯ».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13. МІСЦЕЗНАХОДЖЕННЯ ТА БАНКІВСЬКІ РЕКВІЗИТИ СТОРІН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702"/>
      </w:tblGrid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ЗАМОВНИК 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Літинська селищна рада</w:t>
            </w:r>
            <w:proofErr w:type="gramStart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інницького трайону Вінницької області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</w:tr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22300, Вінницька обл., Вінницький район, смт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ітин, вул. Соборна, будинок 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Код  ЄДРПОУ 04325963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/р </w:t>
            </w:r>
            <w:r w:rsidRPr="009A1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218201720344250011000035097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ДКСУ м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иїв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A1F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(04347) 2-15-63</w:t>
            </w:r>
          </w:p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м.п., 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ind w:firstLine="6800"/>
        <w:rPr>
          <w:rFonts w:eastAsia="Calibri"/>
          <w:bCs w:val="0"/>
          <w:color w:val="auto"/>
          <w:lang w:val="uk-UA"/>
        </w:rPr>
      </w:pPr>
    </w:p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ind w:firstLine="6800"/>
        <w:rPr>
          <w:rFonts w:eastAsia="Calibri"/>
          <w:bCs w:val="0"/>
          <w:color w:val="auto"/>
          <w:lang w:val="uk-UA"/>
        </w:rPr>
      </w:pPr>
      <w:r w:rsidRPr="009A1F16">
        <w:rPr>
          <w:rFonts w:eastAsia="Calibri"/>
          <w:bCs w:val="0"/>
          <w:color w:val="auto"/>
          <w:lang w:val="uk-UA"/>
        </w:rPr>
        <w:t xml:space="preserve">Додаток № 1               </w:t>
      </w:r>
    </w:p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spacing w:line="360" w:lineRule="auto"/>
        <w:ind w:firstLine="6798"/>
        <w:rPr>
          <w:rFonts w:eastAsia="Calibri"/>
          <w:bCs w:val="0"/>
          <w:color w:val="auto"/>
          <w:lang w:val="uk-UA"/>
        </w:rPr>
      </w:pPr>
      <w:r w:rsidRPr="009A1F16">
        <w:rPr>
          <w:rFonts w:eastAsia="Calibri"/>
          <w:bCs w:val="0"/>
          <w:color w:val="auto"/>
          <w:lang w:val="uk-UA"/>
        </w:rPr>
        <w:t>до Договору  № ______</w:t>
      </w:r>
    </w:p>
    <w:p w:rsidR="009A1F16" w:rsidRPr="009A1F16" w:rsidRDefault="009A1F16" w:rsidP="009A1F16">
      <w:pPr>
        <w:suppressAutoHyphens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en-US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від “___”________ 2024р.</w:t>
      </w:r>
    </w:p>
    <w:p w:rsidR="009A1F16" w:rsidRPr="009A1F16" w:rsidRDefault="009A1F16" w:rsidP="009A1F16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F16" w:rsidRPr="009A1F16" w:rsidRDefault="009A1F16" w:rsidP="009A1F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F16">
        <w:rPr>
          <w:rFonts w:ascii="Times New Roman" w:hAnsi="Times New Roman" w:cs="Times New Roman"/>
          <w:b/>
          <w:sz w:val="20"/>
          <w:szCs w:val="20"/>
        </w:rPr>
        <w:t>ПЕРЕЛІК ПОСЛУГ</w:t>
      </w:r>
    </w:p>
    <w:p w:rsidR="009A1F16" w:rsidRPr="009A1F16" w:rsidRDefault="009A1F16" w:rsidP="009A1F16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aps/>
          <w:spacing w:val="1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988"/>
        <w:gridCol w:w="2392"/>
        <w:gridCol w:w="2398"/>
      </w:tblGrid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Місце надання послуг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9A1F16" w:rsidRPr="009A1F16" w:rsidTr="009A1F16">
        <w:trPr>
          <w:trHeight w:val="64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Кладовище с-ще. Літин (вул. Пирогова)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Старе кладовище с-ще. Літин ( вул. Кармелюка)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Старообрядне кладовище с-ще Літин (вул. Коцюбинського)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</w:tr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Кладовище с. Кулига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</w:tr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Кладовище с. Селище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</w:tr>
      <w:tr w:rsidR="009A1F16" w:rsidRPr="009A1F16" w:rsidTr="009A1F1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Центральний парк с-ще. Літин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9A1F16" w:rsidRPr="009A1F16" w:rsidTr="009A1F16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2500</w:t>
            </w:r>
          </w:p>
        </w:tc>
      </w:tr>
    </w:tbl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1F1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9A1F16" w:rsidRPr="009A1F16" w:rsidRDefault="009A1F16" w:rsidP="009A1F16">
      <w:pPr>
        <w:tabs>
          <w:tab w:val="lef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702"/>
      </w:tblGrid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ЗАМОВНИК 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Літинська селищна рада</w:t>
            </w:r>
            <w:proofErr w:type="gramStart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інницького трайону Вінницької області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</w:tr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22300, Вінницька обл., Вінницький район, смт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ітин, вул. Соборна, будинок 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Код  ЄДРПОУ 04325963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/р </w:t>
            </w:r>
            <w:r w:rsidRPr="009A1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218201720344250011000035097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ДКСУ м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иїв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A1F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(04347) 2-15-63</w:t>
            </w:r>
          </w:p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м.п., 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9A1F16" w:rsidRPr="009A1F16" w:rsidRDefault="009A1F16" w:rsidP="009A1F16">
      <w:pPr>
        <w:keepNext/>
        <w:keepLines/>
        <w:shd w:val="clear" w:color="auto" w:fill="FFFFFF"/>
        <w:tabs>
          <w:tab w:val="left" w:pos="-284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ind w:firstLine="6800"/>
        <w:rPr>
          <w:rFonts w:eastAsia="Calibri"/>
          <w:bCs w:val="0"/>
          <w:color w:val="auto"/>
          <w:lang w:val="uk-UA"/>
        </w:rPr>
      </w:pPr>
      <w:r w:rsidRPr="009A1F16">
        <w:rPr>
          <w:rFonts w:eastAsia="Calibri"/>
          <w:bCs w:val="0"/>
          <w:color w:val="auto"/>
          <w:lang w:val="uk-UA"/>
        </w:rPr>
        <w:t xml:space="preserve">Додаток №2               </w:t>
      </w:r>
    </w:p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spacing w:line="360" w:lineRule="auto"/>
        <w:ind w:firstLine="6798"/>
        <w:rPr>
          <w:rFonts w:eastAsia="Calibri"/>
          <w:bCs w:val="0"/>
          <w:color w:val="auto"/>
          <w:lang w:val="uk-UA"/>
        </w:rPr>
      </w:pPr>
      <w:r w:rsidRPr="009A1F16">
        <w:rPr>
          <w:rFonts w:eastAsia="Calibri"/>
          <w:bCs w:val="0"/>
          <w:color w:val="auto"/>
          <w:lang w:val="uk-UA"/>
        </w:rPr>
        <w:t>до Договору  № ______</w:t>
      </w:r>
    </w:p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ind w:firstLine="6800"/>
        <w:rPr>
          <w:rFonts w:eastAsia="Calibri"/>
          <w:bCs w:val="0"/>
          <w:color w:val="auto"/>
          <w:lang w:val="uk-UA"/>
        </w:rPr>
      </w:pPr>
      <w:r w:rsidRPr="009A1F16">
        <w:rPr>
          <w:rFonts w:eastAsia="Calibri"/>
          <w:bCs w:val="0"/>
          <w:color w:val="auto"/>
          <w:lang w:val="uk-UA"/>
        </w:rPr>
        <w:t>від “___”________ 2024р.</w:t>
      </w:r>
    </w:p>
    <w:p w:rsidR="009A1F16" w:rsidRPr="009A1F16" w:rsidRDefault="009A1F16" w:rsidP="009A1F16">
      <w:pPr>
        <w:pStyle w:val="1"/>
        <w:tabs>
          <w:tab w:val="left" w:pos="0"/>
        </w:tabs>
        <w:jc w:val="both"/>
        <w:rPr>
          <w:b/>
          <w:sz w:val="20"/>
          <w:lang w:val="uk-UA"/>
        </w:rPr>
      </w:pPr>
    </w:p>
    <w:p w:rsidR="009A1F16" w:rsidRPr="009A1F16" w:rsidRDefault="009A1F16" w:rsidP="009A1F16">
      <w:pPr>
        <w:pStyle w:val="1"/>
        <w:tabs>
          <w:tab w:val="left" w:pos="0"/>
        </w:tabs>
        <w:jc w:val="both"/>
        <w:rPr>
          <w:b/>
          <w:sz w:val="20"/>
          <w:lang w:val="uk-UA"/>
        </w:rPr>
      </w:pPr>
    </w:p>
    <w:p w:rsidR="009A1F16" w:rsidRPr="009A1F16" w:rsidRDefault="009A1F16" w:rsidP="009A1F16">
      <w:pPr>
        <w:pStyle w:val="1"/>
        <w:jc w:val="center"/>
        <w:rPr>
          <w:b/>
          <w:sz w:val="20"/>
          <w:lang w:val="uk-UA"/>
        </w:rPr>
      </w:pPr>
      <w:r w:rsidRPr="009A1F16">
        <w:rPr>
          <w:b/>
          <w:sz w:val="20"/>
          <w:lang w:val="uk-UA"/>
        </w:rPr>
        <w:t>СПЕЦИФІКАЦІЯ</w:t>
      </w:r>
    </w:p>
    <w:p w:rsidR="009A1F16" w:rsidRPr="009A1F16" w:rsidRDefault="009A1F16" w:rsidP="009A1F16">
      <w:pPr>
        <w:pStyle w:val="1"/>
        <w:jc w:val="center"/>
        <w:rPr>
          <w:sz w:val="20"/>
          <w:lang w:val="uk-UA"/>
        </w:rPr>
      </w:pPr>
      <w:r w:rsidRPr="009A1F16">
        <w:rPr>
          <w:b/>
          <w:sz w:val="20"/>
          <w:lang w:val="uk-UA"/>
        </w:rPr>
        <w:t xml:space="preserve"> </w:t>
      </w:r>
    </w:p>
    <w:tbl>
      <w:tblPr>
        <w:tblW w:w="10238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910"/>
        <w:gridCol w:w="1960"/>
        <w:gridCol w:w="1862"/>
        <w:gridCol w:w="1719"/>
        <w:gridCol w:w="1325"/>
      </w:tblGrid>
      <w:tr w:rsidR="009A1F16" w:rsidRPr="009A1F16" w:rsidTr="009A1F16">
        <w:trPr>
          <w:trHeight w:val="520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proofErr w:type="gramStart"/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іна без ПДВ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без ПДВ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</w:tc>
      </w:tr>
      <w:tr w:rsidR="009A1F16" w:rsidRPr="009A1F16" w:rsidTr="009A1F16">
        <w:trPr>
          <w:trHeight w:val="3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F16" w:rsidRPr="009A1F16" w:rsidRDefault="009A1F1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вирізання порослі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F16" w:rsidRPr="009A1F16" w:rsidRDefault="009A1F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9A1F16" w:rsidRPr="009A1F16" w:rsidTr="009A1F16">
        <w:trPr>
          <w:trHeight w:val="345"/>
        </w:trPr>
        <w:tc>
          <w:tcPr>
            <w:tcW w:w="719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9A1F16" w:rsidRPr="009A1F16" w:rsidTr="009A1F16">
        <w:trPr>
          <w:trHeight w:val="179"/>
        </w:trPr>
        <w:tc>
          <w:tcPr>
            <w:tcW w:w="719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9A1F16" w:rsidRPr="009A1F16" w:rsidTr="009A1F16">
        <w:trPr>
          <w:trHeight w:val="345"/>
        </w:trPr>
        <w:tc>
          <w:tcPr>
            <w:tcW w:w="719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Разом з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9A1F16" w:rsidRPr="009A1F16" w:rsidRDefault="009A1F16" w:rsidP="009A1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2"/>
          <w:sz w:val="20"/>
          <w:szCs w:val="20"/>
          <w:lang w:val="uk-UA" w:eastAsia="zh-CN"/>
        </w:rPr>
      </w:pPr>
    </w:p>
    <w:p w:rsidR="009A1F16" w:rsidRPr="009A1F16" w:rsidRDefault="009A1F16" w:rsidP="009A1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4702"/>
      </w:tblGrid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ЗАМОВНИК </w:t>
            </w:r>
          </w:p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Літинська селищна рада</w:t>
            </w:r>
            <w:proofErr w:type="gramStart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інницького трайону Вінницької області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</w:tr>
      <w:tr w:rsidR="009A1F16" w:rsidRPr="009A1F16" w:rsidTr="009A1F1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6" w:rsidRPr="009A1F16" w:rsidRDefault="009A1F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22300, Вінницька обл., Вінницький район, смт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ітин, вул. Соборна, будинок 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 ЄДРПОУ 04325963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/р </w:t>
            </w:r>
            <w:r w:rsidRPr="009A1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218201720344250011000035097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ДКСУ м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иїв</w:t>
            </w:r>
          </w:p>
          <w:p w:rsidR="009A1F16" w:rsidRPr="009A1F16" w:rsidRDefault="009A1F16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A1F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(04347) 2-15-63</w:t>
            </w:r>
          </w:p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9A1F16">
              <w:rPr>
                <w:rFonts w:ascii="Times New Roman" w:hAnsi="Times New Roman" w:cs="Times New Roman"/>
                <w:sz w:val="20"/>
                <w:szCs w:val="20"/>
              </w:rPr>
              <w:t xml:space="preserve">м.п., </w:t>
            </w:r>
            <w:proofErr w:type="gramStart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1F16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16" w:rsidRPr="009A1F16" w:rsidRDefault="009A1F16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9A1F16" w:rsidRPr="009A1F16" w:rsidRDefault="009A1F16" w:rsidP="009A1F16">
      <w:pPr>
        <w:pStyle w:val="a3"/>
        <w:tabs>
          <w:tab w:val="center" w:pos="4819"/>
          <w:tab w:val="right" w:pos="9639"/>
        </w:tabs>
        <w:ind w:firstLine="6800"/>
        <w:rPr>
          <w:rFonts w:eastAsia="Calibri"/>
          <w:bCs w:val="0"/>
          <w:color w:val="auto"/>
          <w:lang w:val="uk-UA"/>
        </w:rPr>
      </w:pPr>
    </w:p>
    <w:p w:rsidR="00023ADC" w:rsidRPr="009A1F16" w:rsidRDefault="00023ADC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023ADC" w:rsidRPr="009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A1F16"/>
    <w:rsid w:val="00023ADC"/>
    <w:rsid w:val="009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"/>
    <w:basedOn w:val="a"/>
    <w:uiPriority w:val="99"/>
    <w:semiHidden/>
    <w:unhideWhenUsed/>
    <w:qFormat/>
    <w:rsid w:val="009A1F1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uk-UA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5"/>
    <w:uiPriority w:val="99"/>
    <w:qFormat/>
    <w:locked/>
    <w:rsid w:val="009A1F16"/>
    <w:rPr>
      <w:lang w:val="uk-UA" w:eastAsia="en-US"/>
    </w:rPr>
  </w:style>
  <w:style w:type="paragraph" w:styleId="a5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99"/>
    <w:qFormat/>
    <w:rsid w:val="009A1F16"/>
    <w:pPr>
      <w:ind w:left="720"/>
      <w:contextualSpacing/>
    </w:pPr>
    <w:rPr>
      <w:lang w:val="uk-UA" w:eastAsia="en-US"/>
    </w:rPr>
  </w:style>
  <w:style w:type="paragraph" w:customStyle="1" w:styleId="1">
    <w:name w:val="Звичайний1"/>
    <w:uiPriority w:val="99"/>
    <w:qFormat/>
    <w:rsid w:val="009A1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Bodytext1"/>
    <w:locked/>
    <w:rsid w:val="009A1F16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9A1F16"/>
    <w:pPr>
      <w:shd w:val="clear" w:color="auto" w:fill="FFFFFF"/>
      <w:spacing w:after="240" w:line="240" w:lineRule="atLeast"/>
      <w:ind w:hanging="4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13268</Characters>
  <Application>Microsoft Office Word</Application>
  <DocSecurity>0</DocSecurity>
  <Lines>110</Lines>
  <Paragraphs>31</Paragraphs>
  <ScaleCrop>false</ScaleCrop>
  <Company>Grizli777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2024-03-29T11:33:00Z</dcterms:created>
  <dcterms:modified xsi:type="dcterms:W3CDTF">2024-03-29T11:33:00Z</dcterms:modified>
</cp:coreProperties>
</file>