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29" w:rsidRPr="00CE54A6" w:rsidRDefault="004A0B29" w:rsidP="004A0B29">
      <w:pPr>
        <w:jc w:val="right"/>
        <w:rPr>
          <w:b/>
          <w:sz w:val="22"/>
          <w:szCs w:val="22"/>
          <w:lang w:val="uk-UA"/>
        </w:rPr>
      </w:pPr>
      <w:r w:rsidRPr="00CE54A6">
        <w:rPr>
          <w:b/>
          <w:sz w:val="22"/>
          <w:szCs w:val="22"/>
          <w:lang w:val="uk-UA"/>
        </w:rPr>
        <w:t>ДОДАТОК</w:t>
      </w:r>
      <w:r w:rsidR="00977925">
        <w:rPr>
          <w:b/>
          <w:sz w:val="22"/>
          <w:szCs w:val="22"/>
          <w:lang w:val="uk-UA"/>
        </w:rPr>
        <w:t xml:space="preserve"> </w:t>
      </w:r>
      <w:r w:rsidRPr="00CE54A6">
        <w:rPr>
          <w:b/>
          <w:sz w:val="22"/>
          <w:szCs w:val="22"/>
          <w:lang w:val="uk-UA"/>
        </w:rPr>
        <w:t xml:space="preserve"> </w:t>
      </w:r>
      <w:r w:rsidR="00FC5D8A">
        <w:rPr>
          <w:b/>
          <w:sz w:val="22"/>
          <w:szCs w:val="22"/>
          <w:lang w:val="uk-UA"/>
        </w:rPr>
        <w:t>5</w:t>
      </w:r>
    </w:p>
    <w:p w:rsidR="004A0B29" w:rsidRPr="00CE54A6" w:rsidRDefault="004A0B29" w:rsidP="004A0B29">
      <w:pPr>
        <w:jc w:val="right"/>
        <w:rPr>
          <w:sz w:val="22"/>
          <w:szCs w:val="22"/>
          <w:lang w:val="uk-UA"/>
        </w:rPr>
      </w:pPr>
      <w:r w:rsidRPr="00CE54A6">
        <w:rPr>
          <w:sz w:val="22"/>
          <w:szCs w:val="22"/>
          <w:lang w:val="uk-UA"/>
        </w:rPr>
        <w:t>до тендерної документації</w:t>
      </w:r>
    </w:p>
    <w:p w:rsidR="004A0B29" w:rsidRPr="00CE54A6" w:rsidRDefault="004A0B29" w:rsidP="004A0B29">
      <w:pPr>
        <w:jc w:val="right"/>
        <w:rPr>
          <w:lang w:val="uk-UA"/>
        </w:rPr>
      </w:pPr>
    </w:p>
    <w:p w:rsidR="00B91EB4" w:rsidRDefault="004A0B29" w:rsidP="004A0B29">
      <w:pPr>
        <w:jc w:val="center"/>
        <w:rPr>
          <w:b/>
          <w:sz w:val="26"/>
          <w:szCs w:val="26"/>
          <w:lang w:val="uk-UA"/>
        </w:rPr>
      </w:pPr>
      <w:r w:rsidRPr="00B91EB4">
        <w:rPr>
          <w:b/>
          <w:sz w:val="26"/>
          <w:szCs w:val="26"/>
          <w:lang w:val="uk-UA"/>
        </w:rPr>
        <w:t xml:space="preserve">Перелік документів, які обов’язково подаються учасниками </w:t>
      </w:r>
    </w:p>
    <w:p w:rsidR="004A0B29" w:rsidRPr="00B91EB4" w:rsidRDefault="004A0B29" w:rsidP="004A0B29">
      <w:pPr>
        <w:jc w:val="center"/>
        <w:rPr>
          <w:b/>
          <w:sz w:val="26"/>
          <w:szCs w:val="26"/>
          <w:lang w:val="uk-UA"/>
        </w:rPr>
      </w:pPr>
      <w:r w:rsidRPr="00B91EB4">
        <w:rPr>
          <w:b/>
          <w:sz w:val="26"/>
          <w:szCs w:val="26"/>
          <w:lang w:val="uk-UA"/>
        </w:rPr>
        <w:t>у складі тендерної пропозиції</w:t>
      </w:r>
    </w:p>
    <w:p w:rsidR="004A0B29" w:rsidRPr="00CE54A6" w:rsidRDefault="004A0B29" w:rsidP="004A0B29">
      <w:pPr>
        <w:jc w:val="center"/>
        <w:rPr>
          <w:b/>
          <w:lang w:val="uk-UA"/>
        </w:rPr>
      </w:pPr>
    </w:p>
    <w:p w:rsidR="004A0B29" w:rsidRPr="003F1BC2" w:rsidRDefault="004A0B29" w:rsidP="004A0B29">
      <w:pPr>
        <w:spacing w:line="276" w:lineRule="auto"/>
        <w:ind w:firstLine="709"/>
        <w:jc w:val="both"/>
        <w:rPr>
          <w:sz w:val="26"/>
          <w:szCs w:val="26"/>
          <w:lang w:val="uk-UA"/>
        </w:rPr>
      </w:pPr>
      <w:r w:rsidRPr="003F1BC2">
        <w:rPr>
          <w:sz w:val="26"/>
          <w:szCs w:val="26"/>
          <w:lang w:val="uk-UA"/>
        </w:rPr>
        <w:t xml:space="preserve">1. Заповнена </w:t>
      </w:r>
      <w:r w:rsidR="00663653">
        <w:rPr>
          <w:sz w:val="26"/>
          <w:szCs w:val="26"/>
          <w:lang w:val="uk-UA"/>
        </w:rPr>
        <w:t>цінова пропозиція,</w:t>
      </w:r>
      <w:r w:rsidRPr="003F1BC2">
        <w:rPr>
          <w:sz w:val="26"/>
          <w:szCs w:val="26"/>
          <w:lang w:val="uk-UA"/>
        </w:rPr>
        <w:t xml:space="preserve"> яка подаєть</w:t>
      </w:r>
      <w:r w:rsidR="00663653">
        <w:rPr>
          <w:sz w:val="26"/>
          <w:szCs w:val="26"/>
          <w:lang w:val="uk-UA"/>
        </w:rPr>
        <w:t xml:space="preserve">ся за формою </w:t>
      </w:r>
      <w:r w:rsidR="00663653" w:rsidRPr="00663653">
        <w:rPr>
          <w:b/>
          <w:sz w:val="26"/>
          <w:szCs w:val="26"/>
          <w:lang w:val="uk-UA"/>
        </w:rPr>
        <w:t>згідно з Додатком 3</w:t>
      </w:r>
      <w:r w:rsidRPr="003F1BC2">
        <w:rPr>
          <w:sz w:val="26"/>
          <w:szCs w:val="26"/>
          <w:lang w:val="uk-UA"/>
        </w:rPr>
        <w:t xml:space="preserve"> до цієї тендерної пропозиції.</w:t>
      </w:r>
    </w:p>
    <w:p w:rsidR="004A0B29" w:rsidRPr="003F1BC2" w:rsidRDefault="004A0B29" w:rsidP="004A0B29">
      <w:pPr>
        <w:spacing w:line="276" w:lineRule="auto"/>
        <w:ind w:firstLine="709"/>
        <w:jc w:val="both"/>
        <w:rPr>
          <w:sz w:val="26"/>
          <w:szCs w:val="26"/>
          <w:lang w:val="uk-UA"/>
        </w:rPr>
      </w:pPr>
      <w:r w:rsidRPr="003F1BC2">
        <w:rPr>
          <w:sz w:val="26"/>
          <w:szCs w:val="26"/>
          <w:lang w:val="uk-UA"/>
        </w:rPr>
        <w:t xml:space="preserve">2. </w:t>
      </w:r>
      <w:r w:rsidRPr="00977925">
        <w:rPr>
          <w:bCs/>
          <w:sz w:val="26"/>
          <w:szCs w:val="26"/>
          <w:lang w:val="uk-UA"/>
        </w:rPr>
        <w:t>Технічна</w:t>
      </w:r>
      <w:r w:rsidRPr="003F1BC2">
        <w:rPr>
          <w:bCs/>
          <w:sz w:val="26"/>
          <w:szCs w:val="26"/>
        </w:rPr>
        <w:t xml:space="preserve"> специфікація</w:t>
      </w:r>
      <w:r w:rsidRPr="003F1BC2">
        <w:rPr>
          <w:sz w:val="26"/>
          <w:szCs w:val="26"/>
          <w:lang w:val="uk-UA"/>
        </w:rPr>
        <w:t xml:space="preserve"> на то</w:t>
      </w:r>
      <w:r w:rsidR="00663653">
        <w:rPr>
          <w:sz w:val="26"/>
          <w:szCs w:val="26"/>
          <w:lang w:val="uk-UA"/>
        </w:rPr>
        <w:t xml:space="preserve">вар, що пропонується учасником, за формою </w:t>
      </w:r>
      <w:r w:rsidR="00663653" w:rsidRPr="00663653">
        <w:rPr>
          <w:b/>
          <w:sz w:val="26"/>
          <w:szCs w:val="26"/>
          <w:lang w:val="uk-UA"/>
        </w:rPr>
        <w:t>згідно з Додатком 2.</w:t>
      </w:r>
    </w:p>
    <w:p w:rsidR="004A0B29" w:rsidRPr="003F1BC2" w:rsidRDefault="004A0B29" w:rsidP="004A0B29">
      <w:pPr>
        <w:pStyle w:val="a3"/>
        <w:spacing w:before="0" w:beforeAutospacing="0" w:after="0" w:afterAutospacing="0" w:line="235" w:lineRule="auto"/>
        <w:ind w:right="141" w:firstLine="709"/>
        <w:jc w:val="both"/>
        <w:rPr>
          <w:bCs/>
          <w:sz w:val="26"/>
          <w:szCs w:val="26"/>
          <w:lang w:val="uk-UA"/>
        </w:rPr>
      </w:pPr>
      <w:r w:rsidRPr="003F1BC2">
        <w:rPr>
          <w:sz w:val="26"/>
          <w:szCs w:val="26"/>
          <w:lang w:val="uk-UA"/>
        </w:rPr>
        <w:t xml:space="preserve">3. Наявність документально підтвердженого досвіду виконання аналогічного (аналогічних) за предметом закупівлі договору (договорів). </w:t>
      </w:r>
      <w:r w:rsidRPr="003F1BC2">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4A0B29" w:rsidRPr="003F1BC2" w:rsidRDefault="004A0B29" w:rsidP="004A0B29">
      <w:pPr>
        <w:spacing w:line="276" w:lineRule="auto"/>
        <w:ind w:firstLine="709"/>
        <w:jc w:val="both"/>
        <w:rPr>
          <w:sz w:val="26"/>
          <w:szCs w:val="26"/>
          <w:lang w:val="uk-UA"/>
        </w:rPr>
      </w:pPr>
      <w:r w:rsidRPr="003F1BC2">
        <w:rPr>
          <w:sz w:val="26"/>
          <w:szCs w:val="26"/>
          <w:lang w:val="uk-UA"/>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w:t>
      </w:r>
      <w:r w:rsidRPr="003F1BC2">
        <w:rPr>
          <w:sz w:val="26"/>
          <w:szCs w:val="26"/>
        </w:rPr>
        <w:t xml:space="preserve">наказ про </w:t>
      </w:r>
      <w:r w:rsidRPr="003F1BC2">
        <w:rPr>
          <w:sz w:val="26"/>
          <w:szCs w:val="26"/>
          <w:lang w:val="uk-UA"/>
        </w:rPr>
        <w:t>призначення</w:t>
      </w:r>
      <w:r w:rsidRPr="003F1BC2">
        <w:rPr>
          <w:sz w:val="26"/>
          <w:szCs w:val="26"/>
        </w:rPr>
        <w:t xml:space="preserve"> особи на посаду </w:t>
      </w:r>
      <w:r w:rsidRPr="003F1BC2">
        <w:rPr>
          <w:sz w:val="26"/>
          <w:szCs w:val="26"/>
          <w:lang w:val="uk-UA"/>
        </w:rPr>
        <w:t>керівника</w:t>
      </w:r>
      <w:r w:rsidRPr="003F1BC2">
        <w:rPr>
          <w:sz w:val="26"/>
          <w:szCs w:val="26"/>
        </w:rPr>
        <w:t>, та/</w:t>
      </w:r>
      <w:proofErr w:type="spellStart"/>
      <w:r w:rsidRPr="003F1BC2">
        <w:rPr>
          <w:sz w:val="26"/>
          <w:szCs w:val="26"/>
        </w:rPr>
        <w:t>або</w:t>
      </w:r>
      <w:proofErr w:type="spellEnd"/>
      <w:r w:rsidRPr="003F1BC2">
        <w:rPr>
          <w:sz w:val="26"/>
          <w:szCs w:val="26"/>
        </w:rPr>
        <w:t xml:space="preserve"> протокол </w:t>
      </w:r>
      <w:r w:rsidRPr="003F1BC2">
        <w:rPr>
          <w:sz w:val="26"/>
          <w:szCs w:val="26"/>
          <w:lang w:val="uk-UA"/>
        </w:rPr>
        <w:t>або витяг</w:t>
      </w:r>
      <w:r w:rsidRPr="003F1BC2">
        <w:rPr>
          <w:sz w:val="26"/>
          <w:szCs w:val="26"/>
        </w:rPr>
        <w:t xml:space="preserve"> </w:t>
      </w:r>
      <w:proofErr w:type="spellStart"/>
      <w:r w:rsidRPr="003F1BC2">
        <w:rPr>
          <w:sz w:val="26"/>
          <w:szCs w:val="26"/>
        </w:rPr>
        <w:t>з</w:t>
      </w:r>
      <w:proofErr w:type="spellEnd"/>
      <w:r w:rsidRPr="003F1BC2">
        <w:rPr>
          <w:sz w:val="26"/>
          <w:szCs w:val="26"/>
        </w:rPr>
        <w:t xml:space="preserve"> протоколу </w:t>
      </w:r>
      <w:r w:rsidRPr="003F1BC2">
        <w:rPr>
          <w:sz w:val="26"/>
          <w:szCs w:val="26"/>
          <w:lang w:val="uk-UA"/>
        </w:rPr>
        <w:t>загальних зборів</w:t>
      </w:r>
      <w:r w:rsidRPr="003F1BC2">
        <w:rPr>
          <w:sz w:val="26"/>
          <w:szCs w:val="26"/>
        </w:rPr>
        <w:t>, та/</w:t>
      </w:r>
      <w:r w:rsidRPr="003F1BC2">
        <w:rPr>
          <w:sz w:val="26"/>
          <w:szCs w:val="26"/>
          <w:lang w:val="uk-UA"/>
        </w:rPr>
        <w:t>або довіреність</w:t>
      </w:r>
      <w:r w:rsidRPr="003F1BC2">
        <w:rPr>
          <w:sz w:val="26"/>
          <w:szCs w:val="26"/>
        </w:rPr>
        <w:t>, та/</w:t>
      </w:r>
      <w:r w:rsidRPr="003F1BC2">
        <w:rPr>
          <w:sz w:val="26"/>
          <w:szCs w:val="26"/>
          <w:lang w:val="uk-UA"/>
        </w:rPr>
        <w:t xml:space="preserve">або доручення, тощо). </w:t>
      </w:r>
    </w:p>
    <w:p w:rsidR="004A0B29" w:rsidRPr="00663653" w:rsidRDefault="00663653" w:rsidP="004A0B29">
      <w:pPr>
        <w:widowControl w:val="0"/>
        <w:tabs>
          <w:tab w:val="left" w:pos="1080"/>
        </w:tabs>
        <w:autoSpaceDE w:val="0"/>
        <w:autoSpaceDN w:val="0"/>
        <w:adjustRightInd w:val="0"/>
        <w:ind w:firstLine="709"/>
        <w:jc w:val="both"/>
        <w:rPr>
          <w:b/>
          <w:bCs/>
          <w:sz w:val="26"/>
          <w:szCs w:val="26"/>
          <w:lang w:val="uk-UA"/>
        </w:rPr>
      </w:pPr>
      <w:r>
        <w:rPr>
          <w:sz w:val="26"/>
          <w:szCs w:val="26"/>
          <w:lang w:val="uk-UA"/>
        </w:rPr>
        <w:t xml:space="preserve"> 5. Відомості про учасника </w:t>
      </w:r>
      <w:r w:rsidR="004A0B29" w:rsidRPr="003F1BC2">
        <w:rPr>
          <w:sz w:val="26"/>
          <w:szCs w:val="26"/>
          <w:lang w:val="uk-UA"/>
        </w:rPr>
        <w:t xml:space="preserve">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004A0B29" w:rsidRPr="003F1BC2">
        <w:rPr>
          <w:bCs/>
          <w:sz w:val="26"/>
          <w:szCs w:val="26"/>
          <w:lang w:val="uk-UA"/>
        </w:rPr>
        <w:t>банківських реквізитів</w:t>
      </w:r>
      <w:r w:rsidR="004A0B29" w:rsidRPr="003F1BC2">
        <w:rPr>
          <w:sz w:val="26"/>
          <w:szCs w:val="26"/>
          <w:lang w:val="uk-UA"/>
        </w:rPr>
        <w:t xml:space="preserve"> </w:t>
      </w:r>
      <w:r w:rsidR="004A0B29" w:rsidRPr="003F1BC2">
        <w:rPr>
          <w:bCs/>
          <w:sz w:val="26"/>
          <w:szCs w:val="26"/>
          <w:lang w:val="uk-UA"/>
        </w:rPr>
        <w:t xml:space="preserve">та за наявності: </w:t>
      </w:r>
      <w:r w:rsidR="004A0B29" w:rsidRPr="003F1BC2">
        <w:rPr>
          <w:sz w:val="26"/>
          <w:szCs w:val="26"/>
          <w:lang w:val="uk-UA"/>
        </w:rPr>
        <w:t xml:space="preserve">фактичної (поштової) </w:t>
      </w:r>
      <w:r w:rsidR="004A0B29" w:rsidRPr="003F1BC2">
        <w:rPr>
          <w:bCs/>
          <w:sz w:val="26"/>
          <w:szCs w:val="26"/>
          <w:lang w:val="uk-UA"/>
        </w:rPr>
        <w:t>адреси, телефонів</w:t>
      </w:r>
      <w:r>
        <w:rPr>
          <w:bCs/>
          <w:sz w:val="26"/>
          <w:szCs w:val="26"/>
          <w:lang w:val="uk-UA"/>
        </w:rPr>
        <w:t xml:space="preserve"> (телефаксу), електронної пошти, </w:t>
      </w:r>
      <w:r w:rsidRPr="00663653">
        <w:rPr>
          <w:b/>
          <w:bCs/>
          <w:sz w:val="26"/>
          <w:szCs w:val="26"/>
          <w:lang w:val="uk-UA"/>
        </w:rPr>
        <w:t>згідно з додатком 4.</w:t>
      </w:r>
    </w:p>
    <w:p w:rsidR="004A0B29" w:rsidRPr="003F1BC2" w:rsidRDefault="004A0B29" w:rsidP="004A0B29">
      <w:pPr>
        <w:ind w:firstLine="709"/>
        <w:jc w:val="both"/>
        <w:rPr>
          <w:b/>
          <w:bCs/>
          <w:sz w:val="26"/>
          <w:szCs w:val="26"/>
          <w:lang w:val="uk-UA"/>
        </w:rPr>
      </w:pPr>
      <w:r w:rsidRPr="003F1BC2">
        <w:rPr>
          <w:bCs/>
          <w:sz w:val="26"/>
          <w:szCs w:val="26"/>
          <w:lang w:val="uk-UA"/>
        </w:rPr>
        <w:t>6. Копія довідки про присвоєння ідентифікаційного номера (для фізичних осіб-підприємців).</w:t>
      </w:r>
    </w:p>
    <w:p w:rsidR="004A0B29" w:rsidRPr="003F1BC2" w:rsidRDefault="004A0B29" w:rsidP="004A0B29">
      <w:pPr>
        <w:ind w:firstLine="709"/>
        <w:jc w:val="both"/>
        <w:rPr>
          <w:bCs/>
          <w:sz w:val="26"/>
          <w:szCs w:val="26"/>
          <w:lang w:val="uk-UA"/>
        </w:rPr>
      </w:pPr>
      <w:r w:rsidRPr="003F1BC2">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4A0B29" w:rsidRPr="003F1BC2" w:rsidRDefault="004A0B29" w:rsidP="004A0B29">
      <w:pPr>
        <w:spacing w:line="240" w:lineRule="atLeast"/>
        <w:ind w:right="113" w:firstLine="709"/>
        <w:jc w:val="both"/>
        <w:rPr>
          <w:sz w:val="26"/>
          <w:szCs w:val="26"/>
          <w:lang w:val="uk-UA"/>
        </w:rPr>
      </w:pPr>
      <w:r w:rsidRPr="003F1BC2">
        <w:rPr>
          <w:bCs/>
          <w:sz w:val="26"/>
          <w:szCs w:val="26"/>
          <w:lang w:val="uk-UA"/>
        </w:rPr>
        <w:t xml:space="preserve">8. </w:t>
      </w:r>
      <w:r w:rsidRPr="003F1BC2">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A0B29" w:rsidRPr="003F1BC2" w:rsidRDefault="004A0B29" w:rsidP="004A0B29">
      <w:pPr>
        <w:overflowPunct w:val="0"/>
        <w:autoSpaceDE w:val="0"/>
        <w:autoSpaceDN w:val="0"/>
        <w:adjustRightInd w:val="0"/>
        <w:ind w:firstLine="709"/>
        <w:jc w:val="both"/>
        <w:textAlignment w:val="baseline"/>
        <w:rPr>
          <w:color w:val="000000"/>
          <w:sz w:val="26"/>
          <w:szCs w:val="26"/>
          <w:lang w:val="uk-UA"/>
        </w:rPr>
      </w:pPr>
      <w:r w:rsidRPr="003F1BC2">
        <w:rPr>
          <w:sz w:val="26"/>
          <w:szCs w:val="26"/>
          <w:lang w:val="uk-UA"/>
        </w:rPr>
        <w:t xml:space="preserve">9. </w:t>
      </w:r>
      <w:r w:rsidRPr="003F1BC2">
        <w:rPr>
          <w:color w:val="000000"/>
          <w:sz w:val="26"/>
          <w:szCs w:val="26"/>
          <w:lang w:val="uk-UA"/>
        </w:rPr>
        <w:t xml:space="preserve">Лист-гарантія який засвідчує про те, що учасник не </w:t>
      </w:r>
      <w:r w:rsidRPr="003F1BC2">
        <w:rPr>
          <w:color w:val="333333"/>
          <w:sz w:val="26"/>
          <w:szCs w:val="26"/>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F1BC2">
        <w:rPr>
          <w:color w:val="333333"/>
          <w:sz w:val="26"/>
          <w:szCs w:val="26"/>
          <w:lang w:val="uk-UA"/>
        </w:rPr>
        <w:t>бенефіціарним</w:t>
      </w:r>
      <w:proofErr w:type="spellEnd"/>
      <w:r w:rsidRPr="003F1BC2">
        <w:rPr>
          <w:color w:val="333333"/>
          <w:sz w:val="26"/>
          <w:szCs w:val="26"/>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w:t>
      </w:r>
      <w:r w:rsidRPr="003F1BC2">
        <w:rPr>
          <w:color w:val="000000"/>
          <w:sz w:val="26"/>
          <w:szCs w:val="26"/>
          <w:lang w:val="uk-UA"/>
        </w:rPr>
        <w:t>.</w:t>
      </w:r>
    </w:p>
    <w:p w:rsidR="004A0B29" w:rsidRPr="00663653" w:rsidRDefault="004A0B29" w:rsidP="004A0B29">
      <w:pPr>
        <w:ind w:firstLine="709"/>
        <w:jc w:val="both"/>
        <w:rPr>
          <w:sz w:val="26"/>
          <w:szCs w:val="26"/>
          <w:lang w:val="uk-UA"/>
        </w:rPr>
      </w:pPr>
      <w:r w:rsidRPr="00C37D9F">
        <w:rPr>
          <w:color w:val="000000"/>
          <w:sz w:val="26"/>
          <w:szCs w:val="26"/>
          <w:lang w:val="uk-UA"/>
        </w:rPr>
        <w:t xml:space="preserve">10. </w:t>
      </w:r>
      <w:r w:rsidRPr="00C37D9F">
        <w:rPr>
          <w:sz w:val="26"/>
          <w:szCs w:val="26"/>
          <w:lang w:val="uk-UA"/>
        </w:rPr>
        <w:t>Учасник повинен мати розгалужену мережу власних</w:t>
      </w:r>
      <w:r w:rsidR="00663653">
        <w:rPr>
          <w:sz w:val="26"/>
          <w:szCs w:val="26"/>
          <w:lang w:val="uk-UA"/>
        </w:rPr>
        <w:t xml:space="preserve">/орендованих/ партнерських АЗС в межах </w:t>
      </w:r>
      <w:r w:rsidR="00663653" w:rsidRPr="00663653">
        <w:rPr>
          <w:lang w:val="uk-UA"/>
        </w:rPr>
        <w:t>м</w:t>
      </w:r>
      <w:r w:rsidR="00663653" w:rsidRPr="00663653">
        <w:rPr>
          <w:sz w:val="26"/>
          <w:szCs w:val="26"/>
          <w:lang w:val="uk-UA"/>
        </w:rPr>
        <w:t>. Хмільника та Хмільницької міської об’єднаної територіальної громади, Хмільницького району, Вінницької області та м. Вінниці</w:t>
      </w:r>
      <w:r w:rsidRPr="00663653">
        <w:rPr>
          <w:sz w:val="26"/>
          <w:szCs w:val="26"/>
          <w:lang w:val="uk-UA"/>
        </w:rPr>
        <w:t xml:space="preserve">. </w:t>
      </w:r>
    </w:p>
    <w:p w:rsidR="004A0B29" w:rsidRPr="00C37D9F" w:rsidRDefault="004A0B29" w:rsidP="004A0B29">
      <w:pPr>
        <w:overflowPunct w:val="0"/>
        <w:autoSpaceDE w:val="0"/>
        <w:autoSpaceDN w:val="0"/>
        <w:adjustRightInd w:val="0"/>
        <w:ind w:firstLine="709"/>
        <w:jc w:val="both"/>
        <w:textAlignment w:val="baseline"/>
        <w:rPr>
          <w:color w:val="000000"/>
          <w:sz w:val="26"/>
          <w:szCs w:val="26"/>
          <w:lang w:val="uk-UA"/>
        </w:rPr>
      </w:pPr>
      <w:r w:rsidRPr="00C37D9F">
        <w:rPr>
          <w:sz w:val="26"/>
          <w:szCs w:val="26"/>
          <w:lang w:val="uk-UA"/>
        </w:rPr>
        <w:t>Учасник на підтвердження вищевказаної вимоги надає гарантійний лист з місцезнаходженням АЗС.</w:t>
      </w:r>
    </w:p>
    <w:p w:rsidR="004A0B29" w:rsidRPr="003F1BC2" w:rsidRDefault="004A0B29" w:rsidP="004A0B29">
      <w:pPr>
        <w:overflowPunct w:val="0"/>
        <w:autoSpaceDE w:val="0"/>
        <w:autoSpaceDN w:val="0"/>
        <w:adjustRightInd w:val="0"/>
        <w:ind w:firstLine="709"/>
        <w:jc w:val="both"/>
        <w:textAlignment w:val="baseline"/>
        <w:rPr>
          <w:sz w:val="26"/>
          <w:szCs w:val="26"/>
          <w:lang w:val="uk-UA"/>
        </w:rPr>
      </w:pPr>
      <w:r w:rsidRPr="00C37D9F">
        <w:rPr>
          <w:color w:val="000000"/>
          <w:sz w:val="26"/>
          <w:szCs w:val="26"/>
          <w:lang w:val="uk-UA"/>
        </w:rPr>
        <w:lastRenderedPageBreak/>
        <w:t xml:space="preserve">11. </w:t>
      </w:r>
      <w:r w:rsidRPr="00C37D9F">
        <w:rPr>
          <w:sz w:val="26"/>
          <w:szCs w:val="26"/>
          <w:lang w:val="uk-UA"/>
        </w:rPr>
        <w:t xml:space="preserve">Гарантійний лист про те, що термін дії талонів складає не менш як </w:t>
      </w:r>
      <w:r>
        <w:rPr>
          <w:sz w:val="26"/>
          <w:szCs w:val="26"/>
          <w:lang w:val="uk-UA"/>
        </w:rPr>
        <w:t>12</w:t>
      </w:r>
      <w:r w:rsidRPr="00C37D9F">
        <w:rPr>
          <w:sz w:val="26"/>
          <w:szCs w:val="26"/>
          <w:lang w:val="uk-UA"/>
        </w:rPr>
        <w:t xml:space="preserve"> (</w:t>
      </w:r>
      <w:r w:rsidRPr="00DB5275">
        <w:rPr>
          <w:sz w:val="26"/>
          <w:szCs w:val="26"/>
          <w:lang w:val="uk-UA"/>
        </w:rPr>
        <w:t>дванадцять</w:t>
      </w:r>
      <w:r w:rsidRPr="00C37D9F">
        <w:rPr>
          <w:sz w:val="26"/>
          <w:szCs w:val="26"/>
          <w:lang w:val="uk-UA"/>
        </w:rPr>
        <w:t>) місяців з моменту їх отримання (передачі) Покупцем з можливістю продовження терміну їх дії не менш як на 6 (шість) місяців.</w:t>
      </w:r>
    </w:p>
    <w:p w:rsidR="004A0B29" w:rsidRPr="003F1BC2" w:rsidRDefault="004A0B29" w:rsidP="004A0B29">
      <w:pPr>
        <w:overflowPunct w:val="0"/>
        <w:autoSpaceDE w:val="0"/>
        <w:autoSpaceDN w:val="0"/>
        <w:adjustRightInd w:val="0"/>
        <w:ind w:firstLine="709"/>
        <w:jc w:val="both"/>
        <w:textAlignment w:val="baseline"/>
        <w:rPr>
          <w:sz w:val="26"/>
          <w:szCs w:val="26"/>
          <w:lang w:val="uk-UA" w:bidi="uk-UA"/>
        </w:rPr>
      </w:pPr>
      <w:r w:rsidRPr="003F1BC2">
        <w:rPr>
          <w:sz w:val="26"/>
          <w:szCs w:val="26"/>
          <w:lang w:val="uk-UA"/>
        </w:rPr>
        <w:t>12.</w:t>
      </w:r>
      <w:r w:rsidRPr="003F1BC2">
        <w:rPr>
          <w:rFonts w:ascii="Arial Unicode MS" w:eastAsia="Arial Unicode MS" w:hAnsi="Arial Unicode MS" w:cs="Arial Unicode MS"/>
          <w:color w:val="000000"/>
          <w:sz w:val="26"/>
          <w:szCs w:val="26"/>
          <w:lang w:val="uk-UA" w:eastAsia="uk-UA" w:bidi="uk-UA"/>
        </w:rPr>
        <w:t xml:space="preserve"> </w:t>
      </w:r>
      <w:r w:rsidRPr="003F1BC2">
        <w:rPr>
          <w:sz w:val="26"/>
          <w:szCs w:val="26"/>
          <w:lang w:val="uk-UA" w:bidi="uk-UA"/>
        </w:rPr>
        <w:t>Бензин А-95 має за всіма своїми показниками відповідати вимогам ДСТУ.</w:t>
      </w:r>
    </w:p>
    <w:p w:rsidR="004A0B29" w:rsidRPr="003F1BC2" w:rsidRDefault="004A0B29" w:rsidP="004A0B29">
      <w:pPr>
        <w:overflowPunct w:val="0"/>
        <w:autoSpaceDE w:val="0"/>
        <w:autoSpaceDN w:val="0"/>
        <w:adjustRightInd w:val="0"/>
        <w:ind w:firstLine="709"/>
        <w:jc w:val="both"/>
        <w:textAlignment w:val="baseline"/>
        <w:rPr>
          <w:sz w:val="26"/>
          <w:szCs w:val="26"/>
          <w:lang w:val="uk-UA" w:bidi="uk-UA"/>
        </w:rPr>
      </w:pPr>
      <w:r w:rsidRPr="003F1BC2">
        <w:rPr>
          <w:sz w:val="26"/>
          <w:szCs w:val="26"/>
          <w:lang w:val="uk-UA" w:bidi="uk-UA"/>
        </w:rPr>
        <w:t>Учасник повинен надати в складі тендерної пропозиції:</w:t>
      </w:r>
    </w:p>
    <w:p w:rsidR="004A0B29" w:rsidRPr="003F1BC2" w:rsidRDefault="004A0B29" w:rsidP="004A0B29">
      <w:pPr>
        <w:overflowPunct w:val="0"/>
        <w:autoSpaceDE w:val="0"/>
        <w:autoSpaceDN w:val="0"/>
        <w:adjustRightInd w:val="0"/>
        <w:ind w:firstLine="709"/>
        <w:jc w:val="both"/>
        <w:textAlignment w:val="baseline"/>
        <w:rPr>
          <w:sz w:val="26"/>
          <w:szCs w:val="26"/>
          <w:lang w:val="uk-UA" w:bidi="uk-UA"/>
        </w:rPr>
      </w:pPr>
      <w:r w:rsidRPr="003F1BC2">
        <w:rPr>
          <w:sz w:val="26"/>
          <w:szCs w:val="26"/>
          <w:lang w:val="uk-UA" w:bidi="uk-UA"/>
        </w:rPr>
        <w:t>12.1.</w:t>
      </w:r>
      <w:r w:rsidRPr="003F1BC2">
        <w:rPr>
          <w:sz w:val="26"/>
          <w:szCs w:val="26"/>
          <w:lang w:val="uk-UA" w:bidi="uk-UA"/>
        </w:rPr>
        <w:tab/>
        <w:t>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(далі - паливо), виданий Учаснику уповноваженим (акредитованим) органом з оцінки відповідності.</w:t>
      </w:r>
    </w:p>
    <w:p w:rsidR="004A0B29" w:rsidRPr="003F1BC2" w:rsidRDefault="004A0B29" w:rsidP="004A0B29">
      <w:pPr>
        <w:overflowPunct w:val="0"/>
        <w:autoSpaceDE w:val="0"/>
        <w:autoSpaceDN w:val="0"/>
        <w:adjustRightInd w:val="0"/>
        <w:ind w:firstLine="709"/>
        <w:jc w:val="both"/>
        <w:textAlignment w:val="baseline"/>
        <w:rPr>
          <w:sz w:val="26"/>
          <w:szCs w:val="26"/>
          <w:lang w:val="uk-UA"/>
        </w:rPr>
      </w:pPr>
      <w:r w:rsidRPr="003F1BC2">
        <w:rPr>
          <w:sz w:val="26"/>
          <w:szCs w:val="26"/>
          <w:lang w:val="uk-UA" w:bidi="uk-UA"/>
        </w:rPr>
        <w:t>12.2.</w:t>
      </w:r>
      <w:r w:rsidRPr="003F1BC2">
        <w:rPr>
          <w:sz w:val="26"/>
          <w:szCs w:val="26"/>
          <w:lang w:val="uk-UA" w:bidi="uk-UA"/>
        </w:rPr>
        <w:tab/>
        <w:t>Паспорт якості із зазначенням технічних характеристик пропонованого палива.</w:t>
      </w:r>
    </w:p>
    <w:p w:rsidR="004A0B29" w:rsidRPr="003F1BC2" w:rsidRDefault="004A0B29" w:rsidP="004A0B29">
      <w:pPr>
        <w:overflowPunct w:val="0"/>
        <w:autoSpaceDE w:val="0"/>
        <w:autoSpaceDN w:val="0"/>
        <w:adjustRightInd w:val="0"/>
        <w:ind w:firstLine="709"/>
        <w:jc w:val="both"/>
        <w:textAlignment w:val="baseline"/>
        <w:rPr>
          <w:color w:val="000000"/>
          <w:sz w:val="26"/>
          <w:szCs w:val="26"/>
          <w:lang w:val="uk-UA" w:bidi="uk-UA"/>
        </w:rPr>
      </w:pPr>
      <w:r w:rsidRPr="003F1BC2">
        <w:rPr>
          <w:color w:val="000000"/>
          <w:sz w:val="26"/>
          <w:szCs w:val="26"/>
          <w:lang w:val="uk-UA"/>
        </w:rPr>
        <w:t xml:space="preserve">13. </w:t>
      </w:r>
      <w:r w:rsidRPr="003F1BC2">
        <w:rPr>
          <w:color w:val="000000"/>
          <w:sz w:val="26"/>
          <w:szCs w:val="26"/>
          <w:lang w:val="uk-UA" w:bidi="uk-UA"/>
        </w:rPr>
        <w:t>Паливо дизельне має за всіма своїми показниками відповідати вимогам ДСТУ.</w:t>
      </w:r>
    </w:p>
    <w:p w:rsidR="004A0B29" w:rsidRPr="003F1BC2" w:rsidRDefault="004A0B29" w:rsidP="004A0B29">
      <w:pPr>
        <w:overflowPunct w:val="0"/>
        <w:autoSpaceDE w:val="0"/>
        <w:autoSpaceDN w:val="0"/>
        <w:adjustRightInd w:val="0"/>
        <w:ind w:firstLine="709"/>
        <w:jc w:val="both"/>
        <w:textAlignment w:val="baseline"/>
        <w:rPr>
          <w:color w:val="000000"/>
          <w:sz w:val="26"/>
          <w:szCs w:val="26"/>
          <w:lang w:val="uk-UA" w:bidi="uk-UA"/>
        </w:rPr>
      </w:pPr>
      <w:r w:rsidRPr="003F1BC2">
        <w:rPr>
          <w:color w:val="000000"/>
          <w:sz w:val="26"/>
          <w:szCs w:val="26"/>
          <w:lang w:val="uk-UA" w:bidi="uk-UA"/>
        </w:rPr>
        <w:t>Учасник повинен надати в складі тендерної пропозиції:</w:t>
      </w:r>
    </w:p>
    <w:p w:rsidR="004A0B29" w:rsidRPr="003F1BC2" w:rsidRDefault="004A0B29" w:rsidP="004A0B29">
      <w:pPr>
        <w:overflowPunct w:val="0"/>
        <w:autoSpaceDE w:val="0"/>
        <w:autoSpaceDN w:val="0"/>
        <w:adjustRightInd w:val="0"/>
        <w:ind w:firstLine="709"/>
        <w:jc w:val="both"/>
        <w:textAlignment w:val="baseline"/>
        <w:rPr>
          <w:color w:val="000000"/>
          <w:sz w:val="26"/>
          <w:szCs w:val="26"/>
          <w:lang w:val="uk-UA" w:bidi="uk-UA"/>
        </w:rPr>
      </w:pPr>
      <w:r w:rsidRPr="003F1BC2">
        <w:rPr>
          <w:color w:val="000000"/>
          <w:sz w:val="26"/>
          <w:szCs w:val="26"/>
          <w:lang w:val="uk-UA" w:bidi="uk-UA"/>
        </w:rPr>
        <w:t>13.1.</w:t>
      </w:r>
      <w:r w:rsidRPr="003F1BC2">
        <w:rPr>
          <w:color w:val="000000"/>
          <w:sz w:val="26"/>
          <w:szCs w:val="26"/>
          <w:lang w:val="uk-UA" w:bidi="uk-UA"/>
        </w:rPr>
        <w:tab/>
        <w:t>Сертифікат відповідності Технічному регламенту щодо вимог до автомобільних бензинів, дизельного, суднових та котельних палив та ДСТУ 7688:2015 «Паливо дизельне Євро. Технічні умови» на паливо дизельне (далі - паливо), виданий Учаснику уповноваженим (акредитованим) органом з оцінки відповідності.</w:t>
      </w:r>
    </w:p>
    <w:p w:rsidR="004A0B29" w:rsidRPr="003F1BC2" w:rsidRDefault="004A0B29" w:rsidP="004A0B29">
      <w:pPr>
        <w:overflowPunct w:val="0"/>
        <w:autoSpaceDE w:val="0"/>
        <w:autoSpaceDN w:val="0"/>
        <w:adjustRightInd w:val="0"/>
        <w:ind w:firstLine="709"/>
        <w:jc w:val="both"/>
        <w:textAlignment w:val="baseline"/>
        <w:rPr>
          <w:color w:val="000000"/>
          <w:sz w:val="26"/>
          <w:szCs w:val="26"/>
          <w:lang w:val="uk-UA"/>
        </w:rPr>
      </w:pPr>
      <w:r w:rsidRPr="003F1BC2">
        <w:rPr>
          <w:color w:val="000000"/>
          <w:sz w:val="26"/>
          <w:szCs w:val="26"/>
          <w:lang w:val="uk-UA" w:bidi="uk-UA"/>
        </w:rPr>
        <w:t>13.2.</w:t>
      </w:r>
      <w:r w:rsidRPr="003F1BC2">
        <w:rPr>
          <w:color w:val="000000"/>
          <w:sz w:val="26"/>
          <w:szCs w:val="26"/>
          <w:lang w:val="uk-UA" w:bidi="uk-UA"/>
        </w:rPr>
        <w:tab/>
        <w:t>Паспорт якості із зазначенням технічних характеристик пропонованого палива.</w:t>
      </w:r>
    </w:p>
    <w:p w:rsidR="004A0B29" w:rsidRPr="003F1BC2" w:rsidRDefault="004A0B29" w:rsidP="004A0B29">
      <w:pPr>
        <w:overflowPunct w:val="0"/>
        <w:autoSpaceDE w:val="0"/>
        <w:autoSpaceDN w:val="0"/>
        <w:adjustRightInd w:val="0"/>
        <w:ind w:firstLine="709"/>
        <w:jc w:val="both"/>
        <w:textAlignment w:val="baseline"/>
        <w:rPr>
          <w:sz w:val="26"/>
          <w:szCs w:val="26"/>
          <w:lang w:val="uk-UA"/>
        </w:rPr>
      </w:pPr>
      <w:r w:rsidRPr="003F1BC2">
        <w:rPr>
          <w:sz w:val="26"/>
          <w:szCs w:val="26"/>
          <w:lang w:val="uk-UA"/>
        </w:rPr>
        <w:t>14. Оригінал документу (сертифікат тощо), який згідно з ДСТУ 9001:2015 (</w:t>
      </w:r>
      <w:r w:rsidRPr="003F1BC2">
        <w:rPr>
          <w:sz w:val="26"/>
          <w:szCs w:val="26"/>
          <w:lang w:val="en-US"/>
        </w:rPr>
        <w:t>ISO</w:t>
      </w:r>
      <w:r w:rsidRPr="003F1BC2">
        <w:rPr>
          <w:sz w:val="26"/>
          <w:szCs w:val="26"/>
          <w:lang w:val="uk-UA"/>
        </w:rPr>
        <w:t xml:space="preserve"> 9001:2015, </w:t>
      </w:r>
      <w:r w:rsidRPr="003F1BC2">
        <w:rPr>
          <w:sz w:val="26"/>
          <w:szCs w:val="26"/>
          <w:lang w:val="en-US"/>
        </w:rPr>
        <w:t>IDT</w:t>
      </w:r>
      <w:r w:rsidRPr="003F1BC2">
        <w:rPr>
          <w:sz w:val="26"/>
          <w:szCs w:val="26"/>
          <w:lang w:val="uk-UA"/>
        </w:rPr>
        <w:t xml:space="preserve">) «Система управління якістю» </w:t>
      </w:r>
      <w:r w:rsidRPr="003F1BC2">
        <w:rPr>
          <w:sz w:val="26"/>
          <w:szCs w:val="26"/>
          <w:lang w:val="uk-UA" w:bidi="uk-UA"/>
        </w:rPr>
        <w:t>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w:t>
      </w:r>
    </w:p>
    <w:p w:rsidR="004A0B29" w:rsidRPr="003F1BC2" w:rsidRDefault="004A0B29" w:rsidP="004A0B29">
      <w:pPr>
        <w:pStyle w:val="a3"/>
        <w:spacing w:before="0" w:beforeAutospacing="0" w:after="0" w:afterAutospacing="0"/>
        <w:ind w:right="-2" w:firstLine="709"/>
        <w:jc w:val="both"/>
        <w:rPr>
          <w:sz w:val="26"/>
          <w:szCs w:val="26"/>
          <w:lang w:val="uk-UA"/>
        </w:rPr>
      </w:pPr>
      <w:r w:rsidRPr="003F1BC2">
        <w:rPr>
          <w:sz w:val="26"/>
          <w:szCs w:val="26"/>
          <w:lang w:val="uk-UA"/>
        </w:rPr>
        <w:t>15. Документальне підтвердження наявності права в Учасника на використання об’єктів права інтелектуальної власності (знаків для товарів і послуг) (ліцензійний договір), які мають місце на документах, що є засобом отримання нафтопродуктів (талони).</w:t>
      </w:r>
    </w:p>
    <w:p w:rsidR="004A0B29" w:rsidRPr="003F1BC2" w:rsidRDefault="004A0B29" w:rsidP="004A0B29">
      <w:pPr>
        <w:pStyle w:val="a3"/>
        <w:spacing w:before="0" w:beforeAutospacing="0" w:after="360" w:afterAutospacing="0"/>
        <w:ind w:right="-2" w:firstLine="709"/>
        <w:jc w:val="both"/>
        <w:rPr>
          <w:color w:val="FF0000"/>
          <w:sz w:val="26"/>
          <w:szCs w:val="26"/>
          <w:lang w:val="uk-UA"/>
        </w:rPr>
      </w:pPr>
      <w:r w:rsidRPr="003F1BC2">
        <w:rPr>
          <w:sz w:val="26"/>
          <w:szCs w:val="26"/>
          <w:lang w:val="uk-UA"/>
        </w:rPr>
        <w:t xml:space="preserve">16. Чинний дозвіл або ліцензія на провадження відповідної господарської діяльності,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 якщо отримання такого дозволу або ліцензії на провадження такого виду діяльності передбачено законодавством. </w:t>
      </w:r>
    </w:p>
    <w:p w:rsidR="004A0B29" w:rsidRPr="003F1BC2" w:rsidRDefault="004A0B29" w:rsidP="004A0B29">
      <w:pPr>
        <w:spacing w:before="120"/>
        <w:ind w:right="-2" w:firstLine="567"/>
        <w:jc w:val="both"/>
        <w:rPr>
          <w:sz w:val="26"/>
          <w:szCs w:val="26"/>
          <w:lang w:val="uk-UA"/>
        </w:rPr>
      </w:pPr>
      <w:r w:rsidRPr="003F1BC2">
        <w:rPr>
          <w:b/>
          <w:iCs/>
          <w:sz w:val="26"/>
          <w:szCs w:val="26"/>
          <w:lang w:val="uk-UA"/>
        </w:rPr>
        <w:t>Переможець процедури закупівлі</w:t>
      </w:r>
      <w:r w:rsidRPr="003F1BC2">
        <w:rPr>
          <w:sz w:val="26"/>
          <w:szCs w:val="26"/>
          <w:lang w:val="uk-UA"/>
        </w:rPr>
        <w:t xml:space="preserve"> у строк, </w:t>
      </w:r>
      <w:r w:rsidRPr="003F1BC2">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 w:anchor="n401" w:history="1">
        <w:r w:rsidRPr="003F1BC2">
          <w:rPr>
            <w:color w:val="0000FF"/>
            <w:sz w:val="26"/>
            <w:szCs w:val="26"/>
            <w:u w:val="single"/>
            <w:lang w:val="uk-UA"/>
          </w:rPr>
          <w:t>підпунктах 3</w:t>
        </w:r>
      </w:hyperlink>
      <w:r w:rsidRPr="003F1BC2">
        <w:rPr>
          <w:color w:val="333333"/>
          <w:sz w:val="26"/>
          <w:szCs w:val="26"/>
          <w:lang w:val="uk-UA"/>
        </w:rPr>
        <w:t>, </w:t>
      </w:r>
      <w:hyperlink r:id="rId5" w:anchor="n403" w:history="1">
        <w:r w:rsidRPr="003F1BC2">
          <w:rPr>
            <w:color w:val="0000FF"/>
            <w:sz w:val="26"/>
            <w:szCs w:val="26"/>
            <w:u w:val="single"/>
            <w:lang w:val="uk-UA"/>
          </w:rPr>
          <w:t>5</w:t>
        </w:r>
      </w:hyperlink>
      <w:r w:rsidRPr="003F1BC2">
        <w:rPr>
          <w:color w:val="333333"/>
          <w:sz w:val="26"/>
          <w:szCs w:val="26"/>
          <w:lang w:val="uk-UA"/>
        </w:rPr>
        <w:t>, </w:t>
      </w:r>
      <w:hyperlink r:id="rId6" w:anchor="n404" w:history="1">
        <w:r w:rsidRPr="003F1BC2">
          <w:rPr>
            <w:color w:val="0000FF"/>
            <w:sz w:val="26"/>
            <w:szCs w:val="26"/>
            <w:u w:val="single"/>
            <w:lang w:val="uk-UA"/>
          </w:rPr>
          <w:t>6</w:t>
        </w:r>
      </w:hyperlink>
      <w:r w:rsidRPr="003F1BC2">
        <w:rPr>
          <w:color w:val="0000FF"/>
          <w:sz w:val="26"/>
          <w:szCs w:val="26"/>
          <w:lang w:val="uk-UA"/>
        </w:rPr>
        <w:t xml:space="preserve">, </w:t>
      </w:r>
      <w:r w:rsidRPr="003F1BC2">
        <w:rPr>
          <w:color w:val="0000FF"/>
          <w:sz w:val="26"/>
          <w:szCs w:val="26"/>
          <w:u w:val="single"/>
          <w:lang w:val="uk-UA"/>
        </w:rPr>
        <w:t>10</w:t>
      </w:r>
      <w:r w:rsidRPr="003F1BC2">
        <w:rPr>
          <w:color w:val="333333"/>
          <w:sz w:val="26"/>
          <w:szCs w:val="26"/>
          <w:lang w:val="uk-UA"/>
        </w:rPr>
        <w:t> і </w:t>
      </w:r>
      <w:hyperlink r:id="rId7" w:anchor="n410" w:history="1">
        <w:r w:rsidRPr="003F1BC2">
          <w:rPr>
            <w:color w:val="0000FF"/>
            <w:sz w:val="26"/>
            <w:szCs w:val="26"/>
            <w:u w:val="single"/>
            <w:lang w:val="uk-UA"/>
          </w:rPr>
          <w:t>12</w:t>
        </w:r>
      </w:hyperlink>
      <w:r w:rsidRPr="003F1BC2">
        <w:rPr>
          <w:color w:val="333333"/>
          <w:sz w:val="26"/>
          <w:szCs w:val="26"/>
          <w:lang w:val="uk-UA"/>
        </w:rPr>
        <w:t> та в </w:t>
      </w:r>
      <w:hyperlink r:id="rId8" w:anchor="n411" w:history="1">
        <w:r w:rsidRPr="003F1BC2">
          <w:rPr>
            <w:color w:val="0000FF"/>
            <w:sz w:val="26"/>
            <w:szCs w:val="26"/>
            <w:u w:val="single"/>
            <w:lang w:val="uk-UA"/>
          </w:rPr>
          <w:t>абзаці чотирнадцятому</w:t>
        </w:r>
      </w:hyperlink>
      <w:r w:rsidRPr="003F1BC2">
        <w:rPr>
          <w:color w:val="333333"/>
          <w:sz w:val="26"/>
          <w:szCs w:val="26"/>
          <w:lang w:val="uk-UA"/>
        </w:rPr>
        <w:t>  пункту 44 Особливостей</w:t>
      </w:r>
      <w:r w:rsidRPr="003F1BC2">
        <w:rPr>
          <w:sz w:val="26"/>
          <w:szCs w:val="26"/>
          <w:lang w:val="uk-UA"/>
        </w:rPr>
        <w:t>, а саме:</w:t>
      </w:r>
    </w:p>
    <w:p w:rsidR="004A0B29" w:rsidRPr="003F1BC2" w:rsidRDefault="004A0B29" w:rsidP="004A0B29">
      <w:pPr>
        <w:ind w:firstLine="567"/>
        <w:jc w:val="both"/>
        <w:rPr>
          <w:iCs/>
          <w:sz w:val="26"/>
          <w:szCs w:val="26"/>
          <w:lang w:val="uk-UA"/>
        </w:rPr>
      </w:pPr>
    </w:p>
    <w:p w:rsidR="004A0B29" w:rsidRPr="002A6FA3" w:rsidRDefault="004A0B29" w:rsidP="004A0B29">
      <w:pPr>
        <w:spacing w:after="150"/>
        <w:ind w:firstLine="450"/>
        <w:jc w:val="both"/>
        <w:rPr>
          <w:color w:val="333333"/>
          <w:sz w:val="26"/>
          <w:szCs w:val="26"/>
          <w:lang w:val="uk-UA"/>
        </w:rPr>
      </w:pPr>
      <w:r w:rsidRPr="003F1BC2">
        <w:rPr>
          <w:color w:val="333333"/>
          <w:sz w:val="26"/>
          <w:szCs w:val="26"/>
          <w:lang w:val="uk-UA"/>
        </w:rPr>
        <w:lastRenderedPageBreak/>
        <w:t xml:space="preserve">1. </w:t>
      </w:r>
      <w:r w:rsidRPr="002A6FA3">
        <w:rPr>
          <w:sz w:val="26"/>
          <w:szCs w:val="26"/>
          <w:lang w:val="uk-UA"/>
        </w:rPr>
        <w:t>Оригінал або завірену учасником копію документа, виданого уповноваженим державним органом, про те, що</w:t>
      </w:r>
      <w:r w:rsidRPr="002A6FA3">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4A0B29" w:rsidRPr="002A6FA3" w:rsidRDefault="004A0B29" w:rsidP="004A0B29">
      <w:pPr>
        <w:ind w:firstLine="567"/>
        <w:jc w:val="both"/>
        <w:rPr>
          <w:iCs/>
          <w:sz w:val="26"/>
          <w:szCs w:val="26"/>
          <w:lang w:val="uk-UA"/>
        </w:rPr>
      </w:pPr>
      <w:r w:rsidRPr="002A6FA3">
        <w:rPr>
          <w:iCs/>
          <w:sz w:val="26"/>
          <w:szCs w:val="26"/>
          <w:lang w:val="uk-UA"/>
        </w:rPr>
        <w:t xml:space="preserve">2. </w:t>
      </w:r>
      <w:r w:rsidRPr="002A6FA3">
        <w:rPr>
          <w:sz w:val="26"/>
          <w:szCs w:val="26"/>
          <w:lang w:val="uk-UA"/>
        </w:rPr>
        <w:t xml:space="preserve">Оригінал або завірену учасником копію документа, виданого уповноваженим державним органом, про те, що </w:t>
      </w:r>
      <w:r w:rsidRPr="002A6FA3">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A6FA3">
        <w:rPr>
          <w:sz w:val="26"/>
          <w:szCs w:val="26"/>
          <w:lang w:val="uk-UA"/>
        </w:rPr>
        <w:t>.</w:t>
      </w:r>
    </w:p>
    <w:p w:rsidR="004A0B29" w:rsidRPr="002A6FA3" w:rsidRDefault="004A0B29" w:rsidP="004A0B29">
      <w:pPr>
        <w:ind w:firstLine="567"/>
        <w:jc w:val="both"/>
        <w:rPr>
          <w:sz w:val="26"/>
          <w:szCs w:val="26"/>
          <w:lang w:val="uk-UA"/>
        </w:rPr>
      </w:pPr>
      <w:r w:rsidRPr="002A6FA3">
        <w:rPr>
          <w:iCs/>
          <w:sz w:val="26"/>
          <w:szCs w:val="26"/>
          <w:lang w:val="uk-UA"/>
        </w:rPr>
        <w:t xml:space="preserve">3. </w:t>
      </w:r>
      <w:r w:rsidRPr="002A6FA3">
        <w:rPr>
          <w:sz w:val="26"/>
          <w:szCs w:val="26"/>
          <w:lang w:val="uk-UA"/>
        </w:rPr>
        <w:t xml:space="preserve">Оригінал або завірену учасником копію документа, виданого уповноваженим державним органом, про те, що </w:t>
      </w:r>
      <w:r w:rsidRPr="002A6FA3">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4A0B29" w:rsidRPr="003F1BC2" w:rsidRDefault="004A0B29" w:rsidP="00530FE3">
      <w:pPr>
        <w:ind w:firstLine="567"/>
        <w:jc w:val="both"/>
        <w:rPr>
          <w:color w:val="333333"/>
          <w:sz w:val="26"/>
          <w:szCs w:val="26"/>
          <w:shd w:val="clear" w:color="auto" w:fill="FFFFFF"/>
          <w:lang w:val="uk-UA"/>
        </w:rPr>
      </w:pPr>
      <w:r w:rsidRPr="002A6FA3">
        <w:rPr>
          <w:sz w:val="26"/>
          <w:szCs w:val="26"/>
          <w:lang w:val="uk-UA"/>
        </w:rPr>
        <w:t>4.</w:t>
      </w:r>
      <w:r w:rsidRPr="002A6FA3">
        <w:rPr>
          <w:color w:val="333333"/>
          <w:sz w:val="26"/>
          <w:szCs w:val="26"/>
          <w:shd w:val="clear" w:color="auto" w:fill="FFFFFF"/>
          <w:lang w:val="uk-UA"/>
        </w:rPr>
        <w:t xml:space="preserve"> </w:t>
      </w:r>
      <w:r w:rsidRPr="002A6FA3">
        <w:rPr>
          <w:iCs/>
          <w:color w:val="333333"/>
          <w:sz w:val="26"/>
          <w:szCs w:val="26"/>
          <w:shd w:val="clear" w:color="auto" w:fill="FFFFFF"/>
          <w:lang w:val="uk-UA"/>
        </w:rPr>
        <w:t>Копію антикорупційної програми та копію наказу про призначення Уповноваженого з реалізації антикорупційної програми, якщо такі данні не є у формі відкритих даних згідно із Законом України «Про доступ до публічної інформації» та/або містяться у відкритих єдиних державних реєстрах, доступ до яких є вільним, або публічної інформації, що є доступною в</w:t>
      </w:r>
      <w:r w:rsidR="00530FE3">
        <w:rPr>
          <w:iCs/>
          <w:color w:val="333333"/>
          <w:sz w:val="26"/>
          <w:szCs w:val="26"/>
          <w:shd w:val="clear" w:color="auto" w:fill="FFFFFF"/>
          <w:lang w:val="uk-UA"/>
        </w:rPr>
        <w:t xml:space="preserve"> електронній системі закупівель, </w:t>
      </w:r>
      <w:r w:rsidR="00530FE3" w:rsidRPr="00530FE3">
        <w:rPr>
          <w:iCs/>
          <w:color w:val="333333"/>
          <w:sz w:val="26"/>
          <w:szCs w:val="26"/>
          <w:shd w:val="clear" w:color="auto" w:fill="FFFFFF"/>
          <w:lang w:val="uk-UA"/>
        </w:rPr>
        <w:t xml:space="preserve">якщо вартість закупівлі товару (товарів), послуги (послуг) або робіт дорівнює чи перевищує </w:t>
      </w:r>
      <w:r w:rsidR="00530FE3" w:rsidRPr="00530FE3">
        <w:rPr>
          <w:b/>
          <w:iCs/>
          <w:color w:val="333333"/>
          <w:sz w:val="26"/>
          <w:szCs w:val="26"/>
          <w:shd w:val="clear" w:color="auto" w:fill="FFFFFF"/>
          <w:lang w:val="uk-UA"/>
        </w:rPr>
        <w:t>20 млн. гривень</w:t>
      </w:r>
      <w:r w:rsidR="00530FE3">
        <w:rPr>
          <w:iCs/>
          <w:color w:val="333333"/>
          <w:sz w:val="26"/>
          <w:szCs w:val="26"/>
          <w:shd w:val="clear" w:color="auto" w:fill="FFFFFF"/>
          <w:lang w:val="uk-UA"/>
        </w:rPr>
        <w:t xml:space="preserve"> (у тому числі за лотом).</w:t>
      </w:r>
    </w:p>
    <w:p w:rsidR="004A0B29" w:rsidRPr="003F1BC2" w:rsidRDefault="004A0B29" w:rsidP="004A0B29">
      <w:pPr>
        <w:ind w:right="-2" w:firstLine="567"/>
        <w:jc w:val="both"/>
        <w:rPr>
          <w:i/>
          <w:sz w:val="26"/>
          <w:szCs w:val="26"/>
          <w:lang w:val="uk-UA"/>
        </w:rPr>
      </w:pPr>
      <w:r w:rsidRPr="003F1BC2">
        <w:rPr>
          <w:sz w:val="26"/>
          <w:szCs w:val="26"/>
          <w:lang w:val="uk-UA"/>
        </w:rPr>
        <w:t xml:space="preserve">5.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Pr="003F1BC2">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F1BC2">
        <w:rPr>
          <w:sz w:val="26"/>
          <w:szCs w:val="26"/>
          <w:lang w:val="uk-UA"/>
        </w:rPr>
        <w:t xml:space="preserve"> </w:t>
      </w:r>
      <w:r w:rsidRPr="003F1BC2">
        <w:rPr>
          <w:i/>
          <w:sz w:val="26"/>
          <w:szCs w:val="26"/>
          <w:lang w:val="uk-UA"/>
        </w:rPr>
        <w:t xml:space="preserve">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w:t>
      </w:r>
      <w:r w:rsidRPr="003F1BC2">
        <w:rPr>
          <w:i/>
          <w:color w:val="333333"/>
          <w:sz w:val="26"/>
          <w:szCs w:val="26"/>
          <w:lang w:val="uk-UA"/>
        </w:rPr>
        <w:t>керівника учасника процедури закупівлі, фізичну особу, яка є учасником процедури закупівлі</w:t>
      </w:r>
      <w:r w:rsidRPr="003F1BC2">
        <w:rPr>
          <w:i/>
          <w:sz w:val="26"/>
          <w:szCs w:val="26"/>
          <w:lang w:val="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B29" w:rsidRPr="003F1BC2" w:rsidRDefault="004A0B29" w:rsidP="004A0B29">
      <w:pPr>
        <w:ind w:right="-2" w:firstLine="567"/>
        <w:jc w:val="both"/>
        <w:rPr>
          <w:sz w:val="26"/>
          <w:szCs w:val="26"/>
          <w:lang w:val="uk-UA"/>
        </w:rPr>
      </w:pPr>
      <w:r w:rsidRPr="003F1BC2">
        <w:rPr>
          <w:sz w:val="26"/>
          <w:szCs w:val="26"/>
          <w:lang w:val="uk-UA"/>
        </w:rPr>
        <w:t>6. Підтверджуючий документ, наданий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замовником тендеру,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B29" w:rsidRPr="003F1BC2" w:rsidRDefault="004A0B29" w:rsidP="004A0B29">
      <w:pPr>
        <w:ind w:right="-2" w:firstLine="567"/>
        <w:jc w:val="both"/>
        <w:rPr>
          <w:sz w:val="26"/>
          <w:szCs w:val="26"/>
          <w:lang w:val="uk-UA"/>
        </w:rPr>
      </w:pPr>
      <w:r w:rsidRPr="003F1BC2">
        <w:rPr>
          <w:sz w:val="26"/>
          <w:szCs w:val="26"/>
          <w:lang w:val="uk-UA"/>
        </w:rPr>
        <w:t xml:space="preserve">У разі, якщо до учасника процедури закупівлі не застосовується абзац чотирнадцятий пункту 44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rsidR="004A0B29" w:rsidRPr="003F1BC2" w:rsidRDefault="004A0B29" w:rsidP="004A0B29">
      <w:pPr>
        <w:ind w:right="-2" w:firstLine="567"/>
        <w:jc w:val="both"/>
        <w:rPr>
          <w:sz w:val="26"/>
          <w:szCs w:val="26"/>
          <w:lang w:val="uk-UA"/>
        </w:rPr>
      </w:pPr>
      <w:r w:rsidRPr="003F1BC2">
        <w:rPr>
          <w:sz w:val="26"/>
          <w:szCs w:val="26"/>
          <w:lang w:val="uk-UA"/>
        </w:rPr>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4A0B29" w:rsidRPr="003F1BC2" w:rsidRDefault="004A0B29" w:rsidP="004A0B29">
      <w:pPr>
        <w:overflowPunct w:val="0"/>
        <w:autoSpaceDE w:val="0"/>
        <w:autoSpaceDN w:val="0"/>
        <w:adjustRightInd w:val="0"/>
        <w:ind w:firstLine="709"/>
        <w:jc w:val="both"/>
        <w:textAlignment w:val="baseline"/>
        <w:rPr>
          <w:color w:val="000000"/>
          <w:sz w:val="26"/>
          <w:szCs w:val="26"/>
          <w:lang w:val="uk-UA"/>
        </w:rPr>
      </w:pPr>
    </w:p>
    <w:p w:rsidR="004A0B29" w:rsidRPr="003F1BC2" w:rsidRDefault="004A0B29" w:rsidP="004A0B29">
      <w:pPr>
        <w:ind w:firstLine="709"/>
        <w:jc w:val="both"/>
        <w:rPr>
          <w:i/>
          <w:iCs/>
          <w:sz w:val="26"/>
          <w:szCs w:val="26"/>
          <w:lang w:val="uk-UA"/>
        </w:rPr>
      </w:pPr>
      <w:proofErr w:type="gramStart"/>
      <w:r w:rsidRPr="003F1BC2">
        <w:rPr>
          <w:i/>
          <w:iCs/>
          <w:sz w:val="26"/>
          <w:szCs w:val="26"/>
        </w:rPr>
        <w:t>У</w:t>
      </w:r>
      <w:proofErr w:type="gramEnd"/>
      <w:r w:rsidRPr="003F1BC2">
        <w:rPr>
          <w:i/>
          <w:iCs/>
          <w:sz w:val="26"/>
          <w:szCs w:val="26"/>
        </w:rPr>
        <w:t xml:space="preserve"> </w:t>
      </w:r>
      <w:proofErr w:type="spellStart"/>
      <w:proofErr w:type="gramStart"/>
      <w:r w:rsidRPr="003F1BC2">
        <w:rPr>
          <w:i/>
          <w:iCs/>
          <w:sz w:val="26"/>
          <w:szCs w:val="26"/>
        </w:rPr>
        <w:t>раз</w:t>
      </w:r>
      <w:proofErr w:type="gramEnd"/>
      <w:r w:rsidRPr="003F1BC2">
        <w:rPr>
          <w:i/>
          <w:iCs/>
          <w:sz w:val="26"/>
          <w:szCs w:val="26"/>
        </w:rPr>
        <w:t>і</w:t>
      </w:r>
      <w:proofErr w:type="spellEnd"/>
      <w:r w:rsidRPr="003F1BC2">
        <w:rPr>
          <w:i/>
          <w:iCs/>
          <w:sz w:val="26"/>
          <w:szCs w:val="26"/>
        </w:rPr>
        <w:t xml:space="preserve"> </w:t>
      </w:r>
      <w:proofErr w:type="spellStart"/>
      <w:r w:rsidRPr="003F1BC2">
        <w:rPr>
          <w:i/>
          <w:iCs/>
          <w:sz w:val="26"/>
          <w:szCs w:val="26"/>
        </w:rPr>
        <w:t>надання</w:t>
      </w:r>
      <w:proofErr w:type="spellEnd"/>
      <w:r w:rsidRPr="003F1BC2">
        <w:rPr>
          <w:i/>
          <w:iCs/>
          <w:sz w:val="26"/>
          <w:szCs w:val="26"/>
        </w:rPr>
        <w:t xml:space="preserve"> </w:t>
      </w:r>
      <w:proofErr w:type="spellStart"/>
      <w:r w:rsidRPr="003F1BC2">
        <w:rPr>
          <w:i/>
          <w:iCs/>
          <w:sz w:val="26"/>
          <w:szCs w:val="26"/>
        </w:rPr>
        <w:t>учасником</w:t>
      </w:r>
      <w:proofErr w:type="spellEnd"/>
      <w:r w:rsidRPr="003F1BC2">
        <w:rPr>
          <w:i/>
          <w:iCs/>
          <w:sz w:val="26"/>
          <w:szCs w:val="26"/>
        </w:rPr>
        <w:t xml:space="preserve"> </w:t>
      </w:r>
      <w:proofErr w:type="spellStart"/>
      <w:r w:rsidRPr="003F1BC2">
        <w:rPr>
          <w:i/>
          <w:iCs/>
          <w:sz w:val="26"/>
          <w:szCs w:val="26"/>
        </w:rPr>
        <w:t>будь-яких</w:t>
      </w:r>
      <w:proofErr w:type="spellEnd"/>
      <w:r w:rsidRPr="003F1BC2">
        <w:rPr>
          <w:i/>
          <w:iCs/>
          <w:sz w:val="26"/>
          <w:szCs w:val="26"/>
        </w:rPr>
        <w:t xml:space="preserve"> </w:t>
      </w:r>
      <w:proofErr w:type="spellStart"/>
      <w:r w:rsidRPr="003F1BC2">
        <w:rPr>
          <w:i/>
          <w:iCs/>
          <w:sz w:val="26"/>
          <w:szCs w:val="26"/>
        </w:rPr>
        <w:t>документів</w:t>
      </w:r>
      <w:proofErr w:type="spellEnd"/>
      <w:r w:rsidRPr="003F1BC2">
        <w:rPr>
          <w:i/>
          <w:iCs/>
          <w:sz w:val="26"/>
          <w:szCs w:val="26"/>
        </w:rPr>
        <w:t xml:space="preserve"> </w:t>
      </w:r>
      <w:proofErr w:type="spellStart"/>
      <w:r w:rsidRPr="003F1BC2">
        <w:rPr>
          <w:i/>
          <w:iCs/>
          <w:sz w:val="26"/>
          <w:szCs w:val="26"/>
        </w:rPr>
        <w:t>іноземною</w:t>
      </w:r>
      <w:proofErr w:type="spellEnd"/>
      <w:r w:rsidRPr="003F1BC2">
        <w:rPr>
          <w:i/>
          <w:iCs/>
          <w:sz w:val="26"/>
          <w:szCs w:val="26"/>
        </w:rPr>
        <w:t xml:space="preserve"> </w:t>
      </w:r>
      <w:proofErr w:type="spellStart"/>
      <w:r w:rsidRPr="003F1BC2">
        <w:rPr>
          <w:i/>
          <w:iCs/>
          <w:sz w:val="26"/>
          <w:szCs w:val="26"/>
        </w:rPr>
        <w:t>мовою</w:t>
      </w:r>
      <w:proofErr w:type="spellEnd"/>
      <w:r w:rsidRPr="003F1BC2">
        <w:rPr>
          <w:i/>
          <w:iCs/>
          <w:sz w:val="26"/>
          <w:szCs w:val="26"/>
        </w:rPr>
        <w:t xml:space="preserve">, вони </w:t>
      </w:r>
      <w:proofErr w:type="spellStart"/>
      <w:r w:rsidRPr="003F1BC2">
        <w:rPr>
          <w:i/>
          <w:iCs/>
          <w:sz w:val="26"/>
          <w:szCs w:val="26"/>
        </w:rPr>
        <w:t>повинні</w:t>
      </w:r>
      <w:proofErr w:type="spellEnd"/>
      <w:r w:rsidRPr="003F1BC2">
        <w:rPr>
          <w:i/>
          <w:iCs/>
          <w:sz w:val="26"/>
          <w:szCs w:val="26"/>
        </w:rPr>
        <w:t xml:space="preserve"> бути </w:t>
      </w:r>
      <w:proofErr w:type="spellStart"/>
      <w:r w:rsidRPr="003F1BC2">
        <w:rPr>
          <w:i/>
          <w:iCs/>
          <w:sz w:val="26"/>
          <w:szCs w:val="26"/>
        </w:rPr>
        <w:t>перекладені</w:t>
      </w:r>
      <w:proofErr w:type="spellEnd"/>
      <w:r w:rsidRPr="003F1BC2">
        <w:rPr>
          <w:i/>
          <w:iCs/>
          <w:sz w:val="26"/>
          <w:szCs w:val="26"/>
        </w:rPr>
        <w:t xml:space="preserve"> </w:t>
      </w:r>
      <w:proofErr w:type="spellStart"/>
      <w:r w:rsidRPr="003F1BC2">
        <w:rPr>
          <w:i/>
          <w:iCs/>
          <w:sz w:val="26"/>
          <w:szCs w:val="26"/>
        </w:rPr>
        <w:t>українською</w:t>
      </w:r>
      <w:proofErr w:type="spellEnd"/>
      <w:r w:rsidRPr="003F1BC2">
        <w:rPr>
          <w:i/>
          <w:iCs/>
          <w:sz w:val="26"/>
          <w:szCs w:val="26"/>
        </w:rPr>
        <w:t xml:space="preserve">. </w:t>
      </w:r>
    </w:p>
    <w:p w:rsidR="004A0B29" w:rsidRPr="003F1BC2" w:rsidRDefault="004A0B29" w:rsidP="004A0B29">
      <w:pPr>
        <w:ind w:firstLine="709"/>
        <w:jc w:val="both"/>
        <w:rPr>
          <w:i/>
          <w:iCs/>
          <w:sz w:val="26"/>
          <w:szCs w:val="26"/>
          <w:lang w:val="uk-UA"/>
        </w:rPr>
      </w:pPr>
      <w:r w:rsidRPr="003F1BC2">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A0B29" w:rsidRPr="00E02F07" w:rsidRDefault="004A0B29" w:rsidP="004A0B29">
      <w:pPr>
        <w:ind w:firstLine="851"/>
        <w:jc w:val="both"/>
        <w:rPr>
          <w:iCs/>
          <w:sz w:val="26"/>
          <w:szCs w:val="26"/>
          <w:lang w:val="uk-UA"/>
        </w:rPr>
      </w:pPr>
      <w:r w:rsidRPr="00E02F07">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4A0B29" w:rsidRPr="003F1BC2" w:rsidRDefault="004A0B29" w:rsidP="004A0B29">
      <w:pPr>
        <w:spacing w:before="120"/>
        <w:ind w:right="-2" w:firstLine="851"/>
        <w:jc w:val="both"/>
        <w:rPr>
          <w:bCs/>
          <w:sz w:val="26"/>
          <w:szCs w:val="26"/>
          <w:lang w:val="uk-UA"/>
        </w:rPr>
      </w:pPr>
      <w:r w:rsidRPr="003F1BC2">
        <w:rPr>
          <w:bCs/>
          <w:i/>
          <w:sz w:val="26"/>
          <w:szCs w:val="26"/>
          <w:lang w:val="uk-UA"/>
        </w:rPr>
        <w:t>Додаткова інформація</w:t>
      </w:r>
      <w:r w:rsidRPr="003F1BC2">
        <w:rPr>
          <w:bCs/>
          <w:sz w:val="26"/>
          <w:szCs w:val="26"/>
          <w:lang w:val="uk-UA"/>
        </w:rPr>
        <w:t>: учасникам процедури закупівлі пропонується завантажити на електронному майданчику у форматі</w:t>
      </w:r>
      <w:r w:rsidRPr="003F1BC2">
        <w:rPr>
          <w:b/>
          <w:bCs/>
          <w:sz w:val="26"/>
          <w:szCs w:val="26"/>
          <w:lang w:val="uk-UA"/>
        </w:rPr>
        <w:t xml:space="preserve"> PDF </w:t>
      </w:r>
      <w:r w:rsidRPr="003F1BC2">
        <w:rPr>
          <w:bCs/>
          <w:sz w:val="26"/>
          <w:szCs w:val="26"/>
          <w:lang w:val="uk-UA"/>
        </w:rPr>
        <w:t xml:space="preserve">документи, які підтверджують відсутність підстав, передбачених пунктами 3, 5, 6, 10 і 12 та абзаці чотирнадцятому пункту 44 </w:t>
      </w:r>
      <w:r w:rsidRPr="003F1BC2">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1BC2">
        <w:rPr>
          <w:bCs/>
          <w:sz w:val="26"/>
          <w:szCs w:val="26"/>
          <w:lang w:val="uk-UA"/>
        </w:rPr>
        <w:t>, одночасно з поданням тендерної пропозиції, що подається у строк, визначений тендерною документацією.</w:t>
      </w:r>
    </w:p>
    <w:p w:rsidR="004A0B29" w:rsidRPr="00FE1966" w:rsidRDefault="004A0B29" w:rsidP="004A0B29">
      <w:pPr>
        <w:rPr>
          <w:lang w:val="uk-UA"/>
        </w:rPr>
      </w:pPr>
    </w:p>
    <w:p w:rsidR="00DB71D6" w:rsidRPr="004A0B29" w:rsidRDefault="00DB71D6">
      <w:pPr>
        <w:rPr>
          <w:lang w:val="uk-UA"/>
        </w:rPr>
      </w:pPr>
    </w:p>
    <w:sectPr w:rsidR="00DB71D6" w:rsidRPr="004A0B29" w:rsidSect="0066365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B29"/>
    <w:rsid w:val="00231A3B"/>
    <w:rsid w:val="004A0B29"/>
    <w:rsid w:val="00530FE3"/>
    <w:rsid w:val="00554F1B"/>
    <w:rsid w:val="00663653"/>
    <w:rsid w:val="00977925"/>
    <w:rsid w:val="00B91EB4"/>
    <w:rsid w:val="00DB71D6"/>
    <w:rsid w:val="00FC5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qFormat/>
    <w:rsid w:val="004A0B29"/>
    <w:pPr>
      <w:spacing w:before="100" w:beforeAutospacing="1" w:after="100" w:afterAutospacing="1"/>
    </w:pPr>
    <w:rPr>
      <w:szCs w:val="20"/>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4A0B2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3" Type="http://schemas.openxmlformats.org/officeDocument/2006/relationships/webSettings" Target="webSettings.xml"/><Relationship Id="rId7" Type="http://schemas.openxmlformats.org/officeDocument/2006/relationships/hyperlink" Target="https://zakon.rada.gov.ua/laws/show/1178-2022-%D0%BF/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print" TargetMode="External"/><Relationship Id="rId5" Type="http://schemas.openxmlformats.org/officeDocument/2006/relationships/hyperlink" Target="https://zakon.rada.gov.ua/laws/show/1178-2022-%D0%BF/print" TargetMode="External"/><Relationship Id="rId10" Type="http://schemas.openxmlformats.org/officeDocument/2006/relationships/theme" Target="theme/theme1.xml"/><Relationship Id="rId4" Type="http://schemas.openxmlformats.org/officeDocument/2006/relationships/hyperlink" Target="https://zakon.rada.gov.ua/laws/show/1178-2022-%D0%BF/prin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2023-12-06T13:13:00Z</dcterms:created>
  <dcterms:modified xsi:type="dcterms:W3CDTF">2023-12-06T13:57:00Z</dcterms:modified>
</cp:coreProperties>
</file>