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00E9" w14:textId="77777777" w:rsidR="00A5573A" w:rsidRPr="00F35753" w:rsidRDefault="00A5573A" w:rsidP="00593F0C">
      <w:pPr>
        <w:shd w:val="clear" w:color="auto" w:fill="FFFFFF"/>
        <w:tabs>
          <w:tab w:val="left" w:pos="6237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="003D7785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2</w:t>
      </w:r>
    </w:p>
    <w:p w14:paraId="409DC396" w14:textId="77777777" w:rsidR="003D7785" w:rsidRPr="00F35753" w:rsidRDefault="00A5573A" w:rsidP="00593F0C">
      <w:pPr>
        <w:shd w:val="clear" w:color="auto" w:fill="FFFFFF"/>
        <w:tabs>
          <w:tab w:val="left" w:pos="6237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="003D7785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14:paraId="7F651C44" w14:textId="77777777" w:rsidR="00196AA8" w:rsidRPr="00F35753" w:rsidRDefault="00196AA8" w:rsidP="00593F0C">
      <w:pPr>
        <w:shd w:val="clear" w:color="auto" w:fill="FFFFFF"/>
        <w:tabs>
          <w:tab w:val="left" w:pos="6521"/>
          <w:tab w:val="left" w:leader="underscore" w:pos="87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4FA678B" w14:textId="77777777" w:rsidR="00196AA8" w:rsidRPr="00F35753" w:rsidRDefault="00196AA8" w:rsidP="00593F0C">
      <w:pPr>
        <w:shd w:val="clear" w:color="auto" w:fill="FFFFFF"/>
        <w:tabs>
          <w:tab w:val="left" w:pos="6521"/>
          <w:tab w:val="left" w:leader="underscore" w:pos="87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</w:t>
      </w:r>
    </w:p>
    <w:p w14:paraId="75632FA9" w14:textId="77777777" w:rsidR="003D7785" w:rsidRPr="00F35753" w:rsidRDefault="003D7785" w:rsidP="00593F0C">
      <w:pPr>
        <w:shd w:val="clear" w:color="auto" w:fill="FFFFFF"/>
        <w:tabs>
          <w:tab w:val="left" w:leader="underscore" w:pos="8724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928635F" w14:textId="77777777" w:rsidR="003D7785" w:rsidRPr="00F35753" w:rsidRDefault="00196AA8" w:rsidP="00593F0C">
      <w:pPr>
        <w:pStyle w:val="Standard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F35753">
        <w:rPr>
          <w:rFonts w:ascii="Times New Roman" w:hAnsi="Times New Roman" w:cs="Times New Roman"/>
          <w:b/>
          <w:lang w:val="uk-UA"/>
        </w:rPr>
        <w:t xml:space="preserve"> </w:t>
      </w:r>
      <w:r w:rsidR="003D7785" w:rsidRPr="00F35753">
        <w:rPr>
          <w:rFonts w:ascii="Times New Roman" w:hAnsi="Times New Roman" w:cs="Times New Roman"/>
          <w:b/>
          <w:lang w:val="uk-UA"/>
        </w:rPr>
        <w:t>ДОГОВ</w:t>
      </w:r>
      <w:r w:rsidRPr="00F35753">
        <w:rPr>
          <w:rFonts w:ascii="Times New Roman" w:hAnsi="Times New Roman" w:cs="Times New Roman"/>
          <w:b/>
          <w:lang w:val="uk-UA"/>
        </w:rPr>
        <w:t>ІР</w:t>
      </w:r>
      <w:r w:rsidR="00E13A77" w:rsidRPr="00F35753">
        <w:rPr>
          <w:rFonts w:ascii="Times New Roman" w:hAnsi="Times New Roman" w:cs="Times New Roman"/>
          <w:b/>
          <w:lang w:val="uk-UA"/>
        </w:rPr>
        <w:t xml:space="preserve"> №______</w:t>
      </w:r>
    </w:p>
    <w:p w14:paraId="1D7932D1" w14:textId="77777777" w:rsidR="00196AA8" w:rsidRPr="00F35753" w:rsidRDefault="00196AA8" w:rsidP="00593F0C">
      <w:pPr>
        <w:pStyle w:val="Standard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F35753">
        <w:rPr>
          <w:rFonts w:ascii="Times New Roman" w:hAnsi="Times New Roman" w:cs="Times New Roman"/>
          <w:b/>
          <w:lang w:val="uk-UA"/>
        </w:rPr>
        <w:t>про надання послуг</w:t>
      </w:r>
    </w:p>
    <w:p w14:paraId="4D9F46C7" w14:textId="77777777" w:rsidR="003D7785" w:rsidRPr="00F35753" w:rsidRDefault="003D7785" w:rsidP="00593F0C">
      <w:pPr>
        <w:pStyle w:val="Standard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14:paraId="726B2BBD" w14:textId="22E14DE0" w:rsidR="003D7785" w:rsidRPr="00F35753" w:rsidRDefault="0068326D" w:rsidP="00593F0C">
      <w:pPr>
        <w:shd w:val="clear" w:color="auto" w:fill="FFFFFF"/>
        <w:tabs>
          <w:tab w:val="left" w:pos="5573"/>
        </w:tabs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м. Миколаїв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     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 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94F13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_________________ 20</w:t>
      </w:r>
      <w:r w:rsidR="000F57DF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ED7D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р.</w:t>
      </w:r>
    </w:p>
    <w:p w14:paraId="1479DDA3" w14:textId="77777777" w:rsidR="009E6BB3" w:rsidRPr="00F35753" w:rsidRDefault="009E6BB3" w:rsidP="00593F0C">
      <w:pPr>
        <w:shd w:val="clear" w:color="auto" w:fill="FFFFFF"/>
        <w:tabs>
          <w:tab w:val="left" w:pos="5573"/>
        </w:tabs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2385FF4" w14:textId="439E2DCC" w:rsidR="008479FC" w:rsidRPr="00F35753" w:rsidRDefault="00450D1E" w:rsidP="00593F0C">
      <w:pPr>
        <w:shd w:val="clear" w:color="auto" w:fill="FFFFFF"/>
        <w:tabs>
          <w:tab w:val="left" w:pos="4118"/>
          <w:tab w:val="left" w:pos="9498"/>
        </w:tabs>
        <w:spacing w:line="240" w:lineRule="auto"/>
        <w:ind w:right="-27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</w:t>
      </w:r>
      <w:r w:rsidR="001C781D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</w:t>
      </w:r>
      <w:r w:rsidR="0013012A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_________________________________</w:t>
      </w:r>
      <w:r w:rsidR="00B2021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(далі – </w:t>
      </w:r>
      <w:r w:rsidR="003D7785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Виконавець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), в особі ___________________</w:t>
      </w:r>
      <w:r w:rsidR="002F13BA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</w:t>
      </w:r>
      <w:r w:rsidR="0013012A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317F2A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що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діє на підставі</w:t>
      </w:r>
      <w:r w:rsidR="0085558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</w:t>
      </w:r>
      <w:r w:rsidR="00D94F13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</w:t>
      </w:r>
      <w:r w:rsidR="0013012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однієї сторони, і </w:t>
      </w:r>
      <w:r w:rsidR="003D7785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Головне управління Держпродспоживслужби в Миколаївській області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94F13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(далі – </w:t>
      </w:r>
      <w:r w:rsidR="00D94F13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Замовник</w:t>
      </w:r>
      <w:r w:rsidR="00D94F13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особі </w:t>
      </w:r>
      <w:r w:rsidR="005F5F69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</w:t>
      </w:r>
      <w:r w:rsidR="003E371F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____________________________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____, </w:t>
      </w:r>
      <w:r w:rsidR="000461B4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що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діє на підставі Положення з другої сторони,</w:t>
      </w:r>
      <w:r w:rsidR="004C1169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надалі разом – Сторони,</w:t>
      </w:r>
      <w:r w:rsidR="003D77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уклали цей Договір про наступне:</w:t>
      </w:r>
    </w:p>
    <w:p w14:paraId="67C5CDC8" w14:textId="77777777" w:rsidR="00D94F13" w:rsidRPr="00F35753" w:rsidRDefault="00D94F13" w:rsidP="00593F0C">
      <w:pPr>
        <w:shd w:val="clear" w:color="auto" w:fill="FFFFFF"/>
        <w:tabs>
          <w:tab w:val="left" w:pos="4118"/>
          <w:tab w:val="left" w:pos="9498"/>
        </w:tabs>
        <w:spacing w:line="240" w:lineRule="auto"/>
        <w:ind w:right="-27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A747010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tabs>
          <w:tab w:val="left" w:pos="7469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Предмет договору.</w:t>
      </w:r>
    </w:p>
    <w:p w14:paraId="4FFBD9B2" w14:textId="6C82F59A" w:rsidR="00BA4833" w:rsidRPr="00F35753" w:rsidRDefault="00BA4833" w:rsidP="00593F0C">
      <w:pPr>
        <w:pStyle w:val="a6"/>
        <w:numPr>
          <w:ilvl w:val="1"/>
          <w:numId w:val="4"/>
        </w:numPr>
        <w:shd w:val="clear" w:color="auto" w:fill="FFFFFF"/>
        <w:tabs>
          <w:tab w:val="left" w:pos="7469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Виконавець</w:t>
      </w:r>
      <w:r w:rsidR="0069531D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зобов</w:t>
      </w:r>
      <w:r w:rsidR="003B4A55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язується</w:t>
      </w:r>
      <w:r w:rsidR="0069531D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надати </w:t>
      </w:r>
      <w:r w:rsidR="00054911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п</w:t>
      </w:r>
      <w:r w:rsidR="00054911" w:rsidRPr="00054911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ослуги з проведення лабораторних 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</w:t>
      </w:r>
      <w:r w:rsidR="00D101AD" w:rsidRPr="00F35753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,</w:t>
      </w:r>
      <w:r w:rsidR="00157126" w:rsidRPr="00F35753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 xml:space="preserve"> </w:t>
      </w:r>
      <w:r w:rsidR="00D94F13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(ДК 021:2015 71900000-7 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Лабораторні послуги), (ідентифікатор </w:t>
      </w:r>
      <w:r w:rsidR="00ED7D85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закупівлі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-</w:t>
      </w:r>
      <w:r w:rsidR="00F96D4D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), наданих йому Замовником</w:t>
      </w:r>
      <w:r w:rsidR="002F13BA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зразків за окремими показниками, притаманними саме для цього виду продукції, згідно Специфікації (Додаток 1), яка є невід</w:t>
      </w:r>
      <w:r w:rsidR="003B4A55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ємною частиною даного Договору, а Замовник зобов</w:t>
      </w:r>
      <w:r w:rsidR="003B4A55"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язується прийняти надані послуги та оплатити їх у порядку, передбаченому даним Договором.</w:t>
      </w:r>
    </w:p>
    <w:p w14:paraId="0BDB713C" w14:textId="77777777" w:rsidR="00B52F82" w:rsidRPr="00F35753" w:rsidRDefault="00B52F82" w:rsidP="00593F0C">
      <w:pPr>
        <w:pStyle w:val="a6"/>
        <w:shd w:val="clear" w:color="auto" w:fill="FFFFFF"/>
        <w:tabs>
          <w:tab w:val="left" w:pos="7469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C93D007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tabs>
          <w:tab w:val="left" w:pos="7469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Загальна сума договору та умови платежу.</w:t>
      </w:r>
    </w:p>
    <w:p w14:paraId="4DA09673" w14:textId="36A20B72" w:rsidR="00D94F13" w:rsidRPr="00F35753" w:rsidRDefault="00D94F13" w:rsidP="00593F0C">
      <w:pPr>
        <w:pStyle w:val="a6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сума Договору складає ______________ грн., крім того ПДВ – ___ грн., разом з ПДВ – _____ грн. (_____________грн. ___ коп.).</w:t>
      </w:r>
    </w:p>
    <w:p w14:paraId="72A41A9C" w14:textId="5138C194" w:rsidR="00304E85" w:rsidRPr="00F35753" w:rsidRDefault="00304E85" w:rsidP="00593F0C">
      <w:pPr>
        <w:pStyle w:val="a6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здійснює оплату послуг на підставі рахунку/рахунку-фактури та акту здачі-приймання наданих послуг</w:t>
      </w:r>
      <w:r w:rsidR="004E5A4B"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– Акт)</w:t>
      </w:r>
      <w:r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</w:t>
      </w:r>
      <w:r w:rsidR="00ED7D85"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7D85"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робочих</w:t>
      </w:r>
      <w:r w:rsidRPr="00F35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моменту отримання відповідного рахунку та акту за умови наявного бюджетного фінансування на ці цілі.</w:t>
      </w:r>
    </w:p>
    <w:p w14:paraId="019DE9FC" w14:textId="77777777" w:rsidR="00304E85" w:rsidRPr="00F35753" w:rsidRDefault="00304E85" w:rsidP="00593F0C">
      <w:pPr>
        <w:pStyle w:val="a6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56AC4D6" w14:textId="5DD17C24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spacing w:line="240" w:lineRule="auto"/>
        <w:ind w:right="18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Зобов</w:t>
      </w:r>
      <w:r w:rsidR="003B4A55"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язання сторін.</w:t>
      </w:r>
    </w:p>
    <w:p w14:paraId="17C72BF6" w14:textId="05327F0E" w:rsidR="004E5A4B" w:rsidRPr="00F35753" w:rsidRDefault="004E5A4B" w:rsidP="00593F0C">
      <w:pPr>
        <w:pStyle w:val="a6"/>
        <w:numPr>
          <w:ilvl w:val="1"/>
          <w:numId w:val="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Замовник зобов’язаний:</w:t>
      </w:r>
    </w:p>
    <w:p w14:paraId="4EEE377C" w14:textId="53CF0B29" w:rsidR="004E5A4B" w:rsidRPr="00F35753" w:rsidRDefault="004E5A4B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своєчасно та в повному обсязі здійснювати сплату за надані послуги;</w:t>
      </w:r>
    </w:p>
    <w:p w14:paraId="23D375F4" w14:textId="02E8D017" w:rsidR="004E5A4B" w:rsidRPr="00F35753" w:rsidRDefault="004E5A4B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приймати надані послуги згідно Акту.</w:t>
      </w:r>
    </w:p>
    <w:p w14:paraId="0260C652" w14:textId="17FCEB12" w:rsidR="004E5A4B" w:rsidRPr="00F35753" w:rsidRDefault="004E5A4B" w:rsidP="00593F0C">
      <w:pPr>
        <w:pStyle w:val="a6"/>
        <w:numPr>
          <w:ilvl w:val="1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Замовник має право:</w:t>
      </w:r>
    </w:p>
    <w:p w14:paraId="311F15AF" w14:textId="1C420DF0" w:rsidR="004E5A4B" w:rsidRPr="00F35753" w:rsidRDefault="00A97902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к</w:t>
      </w:r>
      <w:r w:rsidR="004E5A4B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онтролювати виконання надання послуг у строки, встановлені цим Договором;</w:t>
      </w:r>
    </w:p>
    <w:p w14:paraId="108F9F70" w14:textId="189F10B9" w:rsidR="004E5A4B" w:rsidRPr="00F35753" w:rsidRDefault="00A97902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</w:t>
      </w:r>
      <w:r w:rsidR="004E5A4B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0E43C63" w14:textId="70C5CDA6" w:rsidR="004E5A4B" w:rsidRPr="00F35753" w:rsidRDefault="00A97902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</w:t>
      </w:r>
      <w:r w:rsidR="004E5A4B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овернути рахунок Виконавцю без здійснення оплати в разі неналежного оформлення документів (відсутність печатки, підписів тощо).</w:t>
      </w:r>
    </w:p>
    <w:p w14:paraId="7EEDA4B6" w14:textId="4A441767" w:rsidR="004E5A4B" w:rsidRPr="00F35753" w:rsidRDefault="004E5A4B" w:rsidP="00593F0C">
      <w:pPr>
        <w:pStyle w:val="a6"/>
        <w:numPr>
          <w:ilvl w:val="1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Виконавець зобов’язаний:</w:t>
      </w:r>
    </w:p>
    <w:p w14:paraId="22936F54" w14:textId="2488396E" w:rsidR="00F11832" w:rsidRPr="00F35753" w:rsidRDefault="00AE6E71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надавати</w:t>
      </w:r>
      <w:r w:rsidR="00F11832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послуг</w:t>
      </w: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и</w:t>
      </w:r>
      <w:r w:rsidR="00F11832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, якість як</w:t>
      </w: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их</w:t>
      </w:r>
      <w:r w:rsidR="00F11832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повинна відповідати діючим державним стандартам (з дотриманням строків проведення визначених видів досліджень з урахуванням відповідної методології). Місце надання послуг: ________.</w:t>
      </w:r>
    </w:p>
    <w:p w14:paraId="504EF9AC" w14:textId="2AE2EECE" w:rsidR="00A44808" w:rsidRPr="00F35753" w:rsidRDefault="00A44808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за результатами досліджень (експертиз) надати протоколи з висновками щодо відповідності/невідповідності продукції;</w:t>
      </w:r>
    </w:p>
    <w:p w14:paraId="00CD08BD" w14:textId="3B7B5FB7" w:rsidR="00A44808" w:rsidRPr="00F35753" w:rsidRDefault="00A44808" w:rsidP="00593F0C">
      <w:pPr>
        <w:pStyle w:val="a6"/>
        <w:numPr>
          <w:ilvl w:val="2"/>
          <w:numId w:val="4"/>
        </w:numPr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proofErr w:type="spellStart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скан</w:t>
      </w:r>
      <w:proofErr w:type="spellEnd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-копії протоколів з висновками щодо відповідності/невідповідності продукції надаються Виконавцем на електронну пошту Замовника протягом 10 календарних днів з дня отримання зразків з подальшим наданням у строк, що не перевищує 10 </w:t>
      </w: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lastRenderedPageBreak/>
        <w:t xml:space="preserve">календарних днів з дати завершення дослідження відповідних протоколів в паперовому вигляді. </w:t>
      </w:r>
    </w:p>
    <w:p w14:paraId="12673551" w14:textId="7AAE4F87" w:rsidR="004E5A4B" w:rsidRPr="00F35753" w:rsidRDefault="004E5A4B" w:rsidP="00593F0C">
      <w:pPr>
        <w:pStyle w:val="a6"/>
        <w:numPr>
          <w:ilvl w:val="1"/>
          <w:numId w:val="4"/>
        </w:numPr>
        <w:shd w:val="clear" w:color="auto" w:fill="FFFFFF"/>
        <w:tabs>
          <w:tab w:val="left" w:pos="446"/>
        </w:tabs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Виконавець має право:</w:t>
      </w:r>
    </w:p>
    <w:p w14:paraId="1C751F19" w14:textId="21DC9106" w:rsidR="004E5A4B" w:rsidRDefault="00AE6E71" w:rsidP="00593F0C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</w:t>
      </w:r>
      <w:r w:rsidR="004E5A4B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воєчасно та в повному обсязі отримувати плату за надані послуги</w:t>
      </w:r>
      <w:r w:rsidR="00A44808"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.</w:t>
      </w:r>
    </w:p>
    <w:p w14:paraId="76812142" w14:textId="5AED942F" w:rsidR="00D91068" w:rsidRPr="00D91068" w:rsidRDefault="00D91068" w:rsidP="00D91068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залучити до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надання послуг</w:t>
      </w: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субпідрядник</w:t>
      </w:r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а(-</w:t>
      </w:r>
      <w:proofErr w:type="spellStart"/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ів</w:t>
      </w:r>
      <w:proofErr w:type="spellEnd"/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)</w:t>
      </w: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, залишаючись відповідальним перед замовником за результат </w:t>
      </w:r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його(</w:t>
      </w: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їхньої</w:t>
      </w:r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)</w:t>
      </w: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роботи</w:t>
      </w:r>
      <w:r w:rsidR="00077B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, у випадку, якщо про залучення так</w:t>
      </w:r>
      <w:r w:rsid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ого(-</w:t>
      </w:r>
      <w:proofErr w:type="spellStart"/>
      <w:r w:rsidR="00077B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их</w:t>
      </w:r>
      <w:proofErr w:type="spellEnd"/>
      <w:r w:rsid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)</w:t>
      </w:r>
      <w:r w:rsidR="00077B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="00E453C4" w:rsidRP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субпідрядника(-</w:t>
      </w:r>
      <w:proofErr w:type="spellStart"/>
      <w:r w:rsidR="00E453C4" w:rsidRP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ів</w:t>
      </w:r>
      <w:proofErr w:type="spellEnd"/>
      <w:r w:rsidR="00E453C4" w:rsidRP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)</w:t>
      </w:r>
      <w:r w:rsidR="00077B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було вказано у тендерній пропозиції </w:t>
      </w:r>
      <w:r w:rsidR="007766F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Виконавця</w:t>
      </w:r>
      <w:r w:rsidRPr="00D910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.</w:t>
      </w:r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Найменування субпідрядник</w:t>
      </w:r>
      <w:r w:rsid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а(-</w:t>
      </w:r>
      <w:proofErr w:type="spellStart"/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ів</w:t>
      </w:r>
      <w:proofErr w:type="spellEnd"/>
      <w:r w:rsid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)</w:t>
      </w:r>
      <w:r w:rsidR="008653F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: </w:t>
      </w:r>
      <w:r w:rsidR="00E453C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_____________.</w:t>
      </w:r>
    </w:p>
    <w:p w14:paraId="10501A8B" w14:textId="77777777" w:rsidR="00A85FA3" w:rsidRPr="00F35753" w:rsidRDefault="00A85FA3" w:rsidP="00593F0C">
      <w:pPr>
        <w:pStyle w:val="a6"/>
        <w:shd w:val="clear" w:color="auto" w:fill="FFFFFF"/>
        <w:spacing w:line="240" w:lineRule="auto"/>
        <w:ind w:left="709" w:right="-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C17110C" w14:textId="77777777" w:rsidR="003D7785" w:rsidRPr="00F35753" w:rsidRDefault="003D7785" w:rsidP="00593F0C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Поряд</w:t>
      </w:r>
      <w:r w:rsidR="003E371F" w:rsidRPr="00F3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ок</w:t>
      </w:r>
      <w:r w:rsidRPr="00F3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 xml:space="preserve"> змін умов договору</w:t>
      </w:r>
      <w:r w:rsidR="005C263F" w:rsidRPr="00F3575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.</w:t>
      </w:r>
    </w:p>
    <w:p w14:paraId="4B68FAE0" w14:textId="45DB3CAB" w:rsidR="00C90FA0" w:rsidRPr="00F35753" w:rsidRDefault="00C90FA0" w:rsidP="00C90FA0">
      <w:pPr>
        <w:pStyle w:val="a6"/>
        <w:numPr>
          <w:ilvl w:val="1"/>
          <w:numId w:val="4"/>
        </w:numPr>
        <w:shd w:val="clear" w:color="auto" w:fill="FFFFFF"/>
        <w:tabs>
          <w:tab w:val="left" w:pos="446"/>
        </w:tabs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14:paraId="156D43BC" w14:textId="5438A5C4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зменшення обсягів закупівлі, зокрема з урахуванням фактичного обсягу видатків замовника;</w:t>
      </w:r>
    </w:p>
    <w:p w14:paraId="1BCC4D67" w14:textId="1C3C23D3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07C2348D" w14:textId="4A372467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продовження строку дії Договору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4066A751" w14:textId="407C5996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погодження зміни ціни в Договорі в бік зменшення (без зміни кількості (обсягу) та якості послуг);</w:t>
      </w:r>
    </w:p>
    <w:p w14:paraId="3D2D9AB4" w14:textId="7D85A4FB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зміни ціни в Договорі у зв’язку з зміною ставок податків і зборів та/або зміною умов щодо надання пільг з оподаткування - </w:t>
      </w:r>
      <w:proofErr w:type="spellStart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пропорційно</w:t>
      </w:r>
      <w:proofErr w:type="spellEnd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пропорційно</w:t>
      </w:r>
      <w:proofErr w:type="spellEnd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до зміни податкового навантаження внаслідок зміни системи оподаткування;</w:t>
      </w:r>
    </w:p>
    <w:p w14:paraId="1994C1C9" w14:textId="0B173B0E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Platts</w:t>
      </w:r>
      <w:proofErr w:type="spellEnd"/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Договорі, у разі встановлення в Договорі порядку зміни ціни;</w:t>
      </w:r>
    </w:p>
    <w:p w14:paraId="7ADB000D" w14:textId="154143F5" w:rsidR="00C90FA0" w:rsidRPr="00F35753" w:rsidRDefault="00C90FA0" w:rsidP="00C90FA0">
      <w:pPr>
        <w:pStyle w:val="a6"/>
        <w:numPr>
          <w:ilvl w:val="2"/>
          <w:numId w:val="4"/>
        </w:numPr>
        <w:shd w:val="clear" w:color="auto" w:fill="FFFFFF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продовження дії Договору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Договорі, укладеному в попередньому році, якщо видатки на досягнення цієї цілі затверджено в установленому порядку.</w:t>
      </w:r>
    </w:p>
    <w:p w14:paraId="46B00E74" w14:textId="3CC45E81" w:rsidR="00B07D92" w:rsidRPr="00F35753" w:rsidRDefault="00C90FA0" w:rsidP="00C90FA0">
      <w:pPr>
        <w:pStyle w:val="a6"/>
        <w:numPr>
          <w:ilvl w:val="1"/>
          <w:numId w:val="4"/>
        </w:numPr>
        <w:shd w:val="clear" w:color="auto" w:fill="FFFFFF"/>
        <w:tabs>
          <w:tab w:val="left" w:pos="446"/>
        </w:tabs>
        <w:suppressAutoHyphens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35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Умови цього Договору мають однакову зобов’язальну силу для Сторін і можуть бути змінені за взаємною згодою Сторін, у випадках передбачених п. 4.1. цього Договору, з обов’язковим укладанням Додаткової угоди протягом строку дії Договору.</w:t>
      </w:r>
    </w:p>
    <w:p w14:paraId="546A5A19" w14:textId="77777777" w:rsidR="00C90FA0" w:rsidRPr="00F35753" w:rsidRDefault="00C90FA0" w:rsidP="00C90FA0">
      <w:pPr>
        <w:pStyle w:val="a6"/>
        <w:shd w:val="clear" w:color="auto" w:fill="FFFFFF"/>
        <w:tabs>
          <w:tab w:val="left" w:pos="446"/>
        </w:tabs>
        <w:suppressAutoHyphens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</w:p>
    <w:p w14:paraId="6B274E15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tabs>
          <w:tab w:val="left" w:pos="284"/>
          <w:tab w:val="left" w:pos="7546"/>
        </w:tabs>
        <w:spacing w:line="240" w:lineRule="auto"/>
        <w:ind w:right="-2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Відповідальність сторін.</w:t>
      </w:r>
    </w:p>
    <w:p w14:paraId="2A31B7C9" w14:textId="36588EE1" w:rsidR="003D7785" w:rsidRPr="00F35753" w:rsidRDefault="003D7785" w:rsidP="00233C95">
      <w:pPr>
        <w:pStyle w:val="a6"/>
        <w:numPr>
          <w:ilvl w:val="1"/>
          <w:numId w:val="4"/>
        </w:numPr>
        <w:shd w:val="clear" w:color="auto" w:fill="FFFFFF"/>
        <w:tabs>
          <w:tab w:val="left" w:pos="284"/>
          <w:tab w:val="left" w:pos="7546"/>
        </w:tabs>
        <w:spacing w:line="240" w:lineRule="auto"/>
        <w:ind w:left="0" w:right="-28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невиконання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язань визначених Договором, Виконавець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язаний сплатити іншій стороні пеню у розмірі не менше 0,1 облікової ставки Національного Банку України, за кожен день прострочки, яка діє на момент порушення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язання.</w:t>
      </w:r>
    </w:p>
    <w:p w14:paraId="506462B3" w14:textId="77777777" w:rsidR="003D7785" w:rsidRPr="00F35753" w:rsidRDefault="003D7785" w:rsidP="00233C95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-27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невиконання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язань визначених Договором, Замовник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язаний сплатити іншій стороні пеню у розмірі не менше 0,1 облікової ставки Національного Банку України, за кожен день прострочки, яка діє на момент порушення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язання.</w:t>
      </w:r>
    </w:p>
    <w:p w14:paraId="362B4E36" w14:textId="77777777" w:rsidR="00B07D92" w:rsidRPr="00F35753" w:rsidRDefault="003D7785" w:rsidP="00233C95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-27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Виконавець несе відповідальність за якість надання послуг відповідно до чинного </w:t>
      </w:r>
      <w:r w:rsidR="005A0A80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аконодавства.</w:t>
      </w:r>
      <w:r w:rsidR="00384890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14:paraId="366437A6" w14:textId="60EEA70E" w:rsidR="00B5484A" w:rsidRDefault="00B5484A" w:rsidP="00593F0C">
      <w:pPr>
        <w:pStyle w:val="a6"/>
        <w:shd w:val="clear" w:color="auto" w:fill="FFFFFF"/>
        <w:spacing w:line="240" w:lineRule="auto"/>
        <w:ind w:left="709" w:right="-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E8BB00F" w14:textId="0FEDFF7A" w:rsidR="00873819" w:rsidRDefault="00873819" w:rsidP="00593F0C">
      <w:pPr>
        <w:pStyle w:val="a6"/>
        <w:shd w:val="clear" w:color="auto" w:fill="FFFFFF"/>
        <w:spacing w:line="240" w:lineRule="auto"/>
        <w:ind w:left="709" w:right="-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86E9E7F" w14:textId="77777777" w:rsidR="00873819" w:rsidRPr="00F35753" w:rsidRDefault="00873819" w:rsidP="00593F0C">
      <w:pPr>
        <w:pStyle w:val="a6"/>
        <w:shd w:val="clear" w:color="auto" w:fill="FFFFFF"/>
        <w:spacing w:line="240" w:lineRule="auto"/>
        <w:ind w:left="709" w:right="-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DB7A077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tabs>
          <w:tab w:val="left" w:pos="763"/>
          <w:tab w:val="left" w:pos="9754"/>
        </w:tabs>
        <w:spacing w:line="240" w:lineRule="auto"/>
        <w:ind w:right="-2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lastRenderedPageBreak/>
        <w:t>Форс-мажор.</w:t>
      </w:r>
    </w:p>
    <w:p w14:paraId="677EEE19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У випадку виникнення обставин, що роблять неможливим повне або часткове виконання Сторонами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язань по цьому </w:t>
      </w:r>
      <w:r w:rsidR="007576C6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якщо це викликано обставинами форс-мажору (стихійні лиха, катастрофи, акти уряду, які могли б вплинути на умови виконання цього договору), термін виконання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язань продовжується на період часу, протягом якого вищеназвані умови зберігають силу.</w:t>
      </w:r>
    </w:p>
    <w:p w14:paraId="0B81355D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Сторона, для якої виконання договірних 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язків стало неможливим, повинна повідомити другу сторону про настання та припинення форс-мажорних обставин негайно, але не пізніше 5 діб після їх настання.</w:t>
      </w:r>
    </w:p>
    <w:p w14:paraId="7A18A42D" w14:textId="77777777" w:rsidR="00B21359" w:rsidRPr="00F35753" w:rsidRDefault="00B21359" w:rsidP="00B21359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Засвідчення форс-мажорних обставин здійснюється у встановленому законодавством порядку. Доказом дії обставин непереборної сили, інших форс-мажорних обставин є документи (оригінали), видані Торгово-промисловою палатою України, іншим компетентним органом/установою.</w:t>
      </w:r>
    </w:p>
    <w:p w14:paraId="76E8E30F" w14:textId="77777777" w:rsidR="00B07D92" w:rsidRPr="00F35753" w:rsidRDefault="00B07D92" w:rsidP="00593F0C">
      <w:pPr>
        <w:shd w:val="clear" w:color="auto" w:fill="FFFFFF"/>
        <w:tabs>
          <w:tab w:val="left" w:pos="1248"/>
        </w:tabs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BCB9E61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spacing w:line="240" w:lineRule="auto"/>
        <w:ind w:right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Додаткові умови.</w:t>
      </w:r>
    </w:p>
    <w:p w14:paraId="2D87C568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Цей </w:t>
      </w:r>
      <w:r w:rsidR="002C118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складений в двох екземплярах, кожний з яких має однакову юридичну силу з моменту підписання.</w:t>
      </w:r>
    </w:p>
    <w:p w14:paraId="4CACFC46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Додатки та доповнення до цього </w:t>
      </w:r>
      <w:r w:rsidR="007576C6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підписані сторонами протягом терміну його дії, є невід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ємними частинами цього </w:t>
      </w:r>
      <w:r w:rsidR="007576C6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оговору.</w:t>
      </w:r>
    </w:p>
    <w:p w14:paraId="2356ECF0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Взаємовідносини сторін, не передбачені цим </w:t>
      </w:r>
      <w:r w:rsidR="007576C6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оговором, регулюються діючим законодавством України.</w:t>
      </w:r>
    </w:p>
    <w:p w14:paraId="58CC6F0E" w14:textId="77777777" w:rsidR="003D7785" w:rsidRPr="00F35753" w:rsidRDefault="003D7785" w:rsidP="00593F0C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0" w:right="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випадку виникнення спорів між </w:t>
      </w:r>
      <w:r w:rsidRPr="00F35753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Виконавцем і Замовником,</w:t>
      </w:r>
      <w:r w:rsidRPr="00F3575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що стосуються виконання зобов</w:t>
      </w:r>
      <w:r w:rsidR="003B4A55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язань цього договору сторони приймають заходи до їх врегулювання шляхом переговорів. В іншому випадку, спори </w:t>
      </w:r>
      <w:r w:rsidR="00FB56B3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вирішуються</w:t>
      </w:r>
      <w:r w:rsidR="00295841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судовому порядку.</w:t>
      </w:r>
    </w:p>
    <w:p w14:paraId="35CD4AF2" w14:textId="77777777" w:rsidR="007B5120" w:rsidRPr="00F35753" w:rsidRDefault="007B5120" w:rsidP="00593F0C">
      <w:pPr>
        <w:shd w:val="clear" w:color="auto" w:fill="FFFFFF"/>
        <w:tabs>
          <w:tab w:val="left" w:pos="1176"/>
        </w:tabs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1FC0FE1B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tabs>
          <w:tab w:val="left" w:pos="9356"/>
        </w:tabs>
        <w:spacing w:line="240" w:lineRule="auto"/>
        <w:ind w:right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Строк дії договору.</w:t>
      </w:r>
    </w:p>
    <w:p w14:paraId="49E123A1" w14:textId="38344B8B" w:rsidR="00721A01" w:rsidRPr="00F35753" w:rsidRDefault="00721A01" w:rsidP="00593F0C">
      <w:pPr>
        <w:pStyle w:val="a6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35753">
        <w:rPr>
          <w:rFonts w:ascii="Times New Roman" w:hAnsi="Times New Roman" w:cs="Times New Roman"/>
          <w:sz w:val="24"/>
          <w:szCs w:val="24"/>
          <w:lang w:val="uk-UA"/>
        </w:rPr>
        <w:t>Цей Договір набуває чинності з дати підписання і діє до 31 грудня 202</w:t>
      </w:r>
      <w:r w:rsidR="0062520D" w:rsidRPr="00F357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35753">
        <w:rPr>
          <w:rFonts w:ascii="Times New Roman" w:hAnsi="Times New Roman" w:cs="Times New Roman"/>
          <w:sz w:val="24"/>
          <w:szCs w:val="24"/>
          <w:lang w:val="uk-UA"/>
        </w:rPr>
        <w:t xml:space="preserve"> року (включно), а в частині проведення розрахунків – до їх повного здійснення. </w:t>
      </w:r>
    </w:p>
    <w:p w14:paraId="5D20BED0" w14:textId="77777777" w:rsidR="009409DE" w:rsidRPr="00F35753" w:rsidRDefault="009409DE" w:rsidP="00593F0C">
      <w:pPr>
        <w:shd w:val="clear" w:color="auto" w:fill="FFFFFF"/>
        <w:spacing w:line="240" w:lineRule="auto"/>
        <w:ind w:right="1"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4C451DE9" w14:textId="77777777" w:rsidR="003D7785" w:rsidRPr="00F35753" w:rsidRDefault="003D7785" w:rsidP="00593F0C">
      <w:pPr>
        <w:pStyle w:val="a6"/>
        <w:numPr>
          <w:ilvl w:val="0"/>
          <w:numId w:val="4"/>
        </w:numPr>
        <w:shd w:val="clear" w:color="auto" w:fill="FFFFFF"/>
        <w:spacing w:line="240" w:lineRule="auto"/>
        <w:ind w:right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Юридична адреса і платіжні реквізити сторін.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F57DF" w:rsidRPr="00F35753" w14:paraId="2CF54EB2" w14:textId="77777777" w:rsidTr="000F57DF">
        <w:tc>
          <w:tcPr>
            <w:tcW w:w="4786" w:type="dxa"/>
            <w:shd w:val="clear" w:color="auto" w:fill="auto"/>
          </w:tcPr>
          <w:p w14:paraId="12994026" w14:textId="77777777" w:rsidR="000F57DF" w:rsidRPr="00F35753" w:rsidRDefault="00BC728C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Виконавець</w:t>
            </w:r>
          </w:p>
        </w:tc>
        <w:tc>
          <w:tcPr>
            <w:tcW w:w="4785" w:type="dxa"/>
            <w:shd w:val="clear" w:color="auto" w:fill="auto"/>
          </w:tcPr>
          <w:p w14:paraId="1C3EB6BE" w14:textId="77777777" w:rsidR="000F57DF" w:rsidRPr="00F35753" w:rsidRDefault="00BC728C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Замовник</w:t>
            </w:r>
          </w:p>
        </w:tc>
      </w:tr>
      <w:tr w:rsidR="00BC728C" w:rsidRPr="00F35753" w14:paraId="18869058" w14:textId="77777777" w:rsidTr="000F57DF">
        <w:tc>
          <w:tcPr>
            <w:tcW w:w="4786" w:type="dxa"/>
            <w:shd w:val="clear" w:color="auto" w:fill="auto"/>
          </w:tcPr>
          <w:p w14:paraId="59D8DAEE" w14:textId="77777777" w:rsidR="00BC728C" w:rsidRPr="00F35753" w:rsidRDefault="00BC728C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6F53B540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Головне управління</w:t>
            </w:r>
          </w:p>
          <w:p w14:paraId="795D3B74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Держпродспоживслужби</w:t>
            </w:r>
          </w:p>
          <w:p w14:paraId="08BEBDDE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 xml:space="preserve"> в Миколаївській області</w:t>
            </w:r>
          </w:p>
        </w:tc>
      </w:tr>
      <w:tr w:rsidR="000F57DF" w:rsidRPr="00F35753" w14:paraId="694933E1" w14:textId="77777777" w:rsidTr="000F57DF">
        <w:tc>
          <w:tcPr>
            <w:tcW w:w="4786" w:type="dxa"/>
            <w:shd w:val="clear" w:color="auto" w:fill="auto"/>
          </w:tcPr>
          <w:p w14:paraId="7D5C3743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55C1077D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0F57DF" w:rsidRPr="00F35753" w14:paraId="1199800F" w14:textId="77777777" w:rsidTr="000F57DF">
        <w:tc>
          <w:tcPr>
            <w:tcW w:w="4786" w:type="dxa"/>
            <w:shd w:val="clear" w:color="auto" w:fill="auto"/>
          </w:tcPr>
          <w:p w14:paraId="3858270A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1EB33EC5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54003, м"/>
              </w:smartTagPr>
              <w:r w:rsidRPr="00F35753">
                <w:rPr>
                  <w:rFonts w:ascii="Times New Roman" w:eastAsia="Calibri" w:hAnsi="Times New Roman" w:cs="Times New Roman"/>
                  <w:color w:val="auto"/>
                  <w:spacing w:val="-2"/>
                  <w:sz w:val="24"/>
                  <w:szCs w:val="24"/>
                  <w:lang w:val="uk-UA" w:eastAsia="en-US"/>
                </w:rPr>
                <w:t>54003, м</w:t>
              </w:r>
            </w:smartTag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. Миколаїв, пр-т Центральний, 288</w:t>
            </w:r>
          </w:p>
          <w:p w14:paraId="5D7BCE67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код ЄДРПОУ 40327023</w:t>
            </w:r>
          </w:p>
          <w:p w14:paraId="71AA2027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р/р UA058201720343180008000094031</w:t>
            </w:r>
          </w:p>
          <w:p w14:paraId="26A07719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proofErr w:type="spellStart"/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Держказначейська</w:t>
            </w:r>
            <w:proofErr w:type="spellEnd"/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 xml:space="preserve"> служба України, м. Київ</w:t>
            </w:r>
          </w:p>
          <w:p w14:paraId="7505C887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МФО 820172</w:t>
            </w:r>
          </w:p>
          <w:p w14:paraId="79EAEA10" w14:textId="77777777" w:rsidR="00F35753" w:rsidRPr="00F35753" w:rsidRDefault="00F35753" w:rsidP="00F35753">
            <w:pPr>
              <w:spacing w:after="160" w:line="240" w:lineRule="auto"/>
              <w:ind w:right="-141"/>
              <w:contextualSpacing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val="uk-UA" w:eastAsia="en-US"/>
              </w:rPr>
              <w:t>(0512) 30 43 16</w:t>
            </w:r>
          </w:p>
          <w:p w14:paraId="2F23F5CD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0F57DF" w:rsidRPr="00F35753" w14:paraId="0497180E" w14:textId="77777777" w:rsidTr="000F57DF">
        <w:tc>
          <w:tcPr>
            <w:tcW w:w="4786" w:type="dxa"/>
            <w:shd w:val="clear" w:color="auto" w:fill="auto"/>
          </w:tcPr>
          <w:p w14:paraId="48D276F9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4D2AF8C9" w14:textId="6DED2727" w:rsidR="000F57DF" w:rsidRPr="00F35753" w:rsidRDefault="006168A3" w:rsidP="00B21359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>Н</w:t>
            </w:r>
            <w:r w:rsidR="000F57DF"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 xml:space="preserve">ачальник </w:t>
            </w:r>
          </w:p>
        </w:tc>
      </w:tr>
      <w:tr w:rsidR="000F57DF" w:rsidRPr="00F35753" w14:paraId="643E835C" w14:textId="77777777" w:rsidTr="000F57DF">
        <w:tc>
          <w:tcPr>
            <w:tcW w:w="4786" w:type="dxa"/>
            <w:shd w:val="clear" w:color="auto" w:fill="auto"/>
          </w:tcPr>
          <w:p w14:paraId="33828D2E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26EEB1D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0F57DF" w:rsidRPr="00F35753" w14:paraId="165A7C90" w14:textId="77777777" w:rsidTr="000F57DF">
        <w:trPr>
          <w:trHeight w:val="389"/>
        </w:trPr>
        <w:tc>
          <w:tcPr>
            <w:tcW w:w="4786" w:type="dxa"/>
            <w:shd w:val="clear" w:color="auto" w:fill="auto"/>
          </w:tcPr>
          <w:p w14:paraId="4D4259BB" w14:textId="77777777" w:rsidR="000F57DF" w:rsidRPr="00F35753" w:rsidRDefault="000F57DF" w:rsidP="004622BD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057937B3" w14:textId="77777777" w:rsidR="000F57DF" w:rsidRPr="00F35753" w:rsidRDefault="000F57DF" w:rsidP="00C263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 xml:space="preserve">__________________ </w:t>
            </w:r>
          </w:p>
        </w:tc>
      </w:tr>
    </w:tbl>
    <w:p w14:paraId="28694C13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6A982B5F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6AC4DDBC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1D7B69AA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229155AF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3C90D385" w14:textId="77777777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1B0F70F5" w14:textId="4A8FE265" w:rsidR="0054224E" w:rsidRPr="00F35753" w:rsidRDefault="0054224E" w:rsidP="004622BD">
      <w:pPr>
        <w:contextualSpacing/>
        <w:rPr>
          <w:color w:val="auto"/>
          <w:lang w:val="uk-UA"/>
        </w:rPr>
      </w:pPr>
    </w:p>
    <w:p w14:paraId="3E26F7BB" w14:textId="77777777" w:rsidR="00445B40" w:rsidRPr="00F35753" w:rsidRDefault="00445B40" w:rsidP="004622BD">
      <w:pPr>
        <w:spacing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Додаток 1</w:t>
      </w:r>
    </w:p>
    <w:p w14:paraId="77FA869D" w14:textId="77777777" w:rsidR="00445B40" w:rsidRPr="00F35753" w:rsidRDefault="00445B40" w:rsidP="004622BD">
      <w:pPr>
        <w:spacing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до Договору про надання послуг</w:t>
      </w:r>
    </w:p>
    <w:p w14:paraId="610B3263" w14:textId="27C00C1B" w:rsidR="00445B40" w:rsidRPr="00F35753" w:rsidRDefault="00445B40" w:rsidP="004622BD">
      <w:pPr>
        <w:spacing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«___»_______ 20</w:t>
      </w:r>
      <w:r w:rsidR="000F57DF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62520D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р. №</w:t>
      </w:r>
      <w:r w:rsidR="00B24141"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</w:t>
      </w:r>
      <w:r w:rsidRPr="00F35753">
        <w:rPr>
          <w:rFonts w:ascii="Times New Roman" w:hAnsi="Times New Roman" w:cs="Times New Roman"/>
          <w:color w:val="auto"/>
          <w:sz w:val="24"/>
          <w:szCs w:val="24"/>
          <w:lang w:val="uk-UA"/>
        </w:rPr>
        <w:t>___</w:t>
      </w:r>
    </w:p>
    <w:p w14:paraId="505F9D53" w14:textId="77777777" w:rsidR="00C94493" w:rsidRPr="00F35753" w:rsidRDefault="00C94493" w:rsidP="004622B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272A8AE" w14:textId="3CDEF4BC" w:rsidR="00C919B1" w:rsidRPr="00F35753" w:rsidRDefault="00445B40" w:rsidP="004622B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357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Специфікація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46"/>
        <w:gridCol w:w="3957"/>
        <w:gridCol w:w="1984"/>
        <w:gridCol w:w="1824"/>
        <w:gridCol w:w="1323"/>
      </w:tblGrid>
      <w:tr w:rsidR="00697C52" w:rsidRPr="00F35753" w14:paraId="573F5DEA" w14:textId="77777777" w:rsidTr="008A297C">
        <w:trPr>
          <w:trHeight w:val="469"/>
        </w:trPr>
        <w:tc>
          <w:tcPr>
            <w:tcW w:w="546" w:type="dxa"/>
            <w:vAlign w:val="center"/>
          </w:tcPr>
          <w:p w14:paraId="63BDF366" w14:textId="77777777" w:rsidR="00697C52" w:rsidRPr="00F35753" w:rsidRDefault="00697C52" w:rsidP="006168A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57" w:type="dxa"/>
            <w:vAlign w:val="center"/>
          </w:tcPr>
          <w:p w14:paraId="092F883E" w14:textId="77777777" w:rsidR="00697C52" w:rsidRPr="00F35753" w:rsidRDefault="00697C52" w:rsidP="006168A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14:paraId="7F8A737C" w14:textId="77777777" w:rsidR="00697C52" w:rsidRPr="00F35753" w:rsidRDefault="00697C52" w:rsidP="006168A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Кількість послуг</w:t>
            </w:r>
          </w:p>
        </w:tc>
        <w:tc>
          <w:tcPr>
            <w:tcW w:w="1824" w:type="dxa"/>
            <w:vAlign w:val="center"/>
          </w:tcPr>
          <w:p w14:paraId="7D7D4864" w14:textId="77777777" w:rsidR="00697C52" w:rsidRPr="00F35753" w:rsidRDefault="00697C52" w:rsidP="006168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Ціна за од. з ПДВ, грн.</w:t>
            </w:r>
          </w:p>
        </w:tc>
        <w:tc>
          <w:tcPr>
            <w:tcW w:w="1323" w:type="dxa"/>
            <w:vAlign w:val="center"/>
          </w:tcPr>
          <w:p w14:paraId="4A4F1758" w14:textId="77777777" w:rsidR="00697C52" w:rsidRPr="00F35753" w:rsidRDefault="00697C52" w:rsidP="006168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Сума з ПДВ, грн.</w:t>
            </w:r>
          </w:p>
        </w:tc>
      </w:tr>
      <w:tr w:rsidR="00D47C67" w:rsidRPr="00F35753" w14:paraId="442A7876" w14:textId="77777777" w:rsidTr="00C94493">
        <w:trPr>
          <w:trHeight w:val="192"/>
        </w:trPr>
        <w:tc>
          <w:tcPr>
            <w:tcW w:w="9634" w:type="dxa"/>
            <w:gridSpan w:val="5"/>
          </w:tcPr>
          <w:p w14:paraId="3502B6C5" w14:textId="4C555795" w:rsidR="00D47C67" w:rsidRPr="00F35753" w:rsidRDefault="00054911" w:rsidP="00077CC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549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Послуги з проведення лабораторних 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</w:t>
            </w:r>
            <w:r w:rsidR="0062520D"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62520D" w:rsidRPr="00F35753" w14:paraId="258C3D36" w14:textId="77777777" w:rsidTr="008A297C">
        <w:trPr>
          <w:trHeight w:val="243"/>
        </w:trPr>
        <w:tc>
          <w:tcPr>
            <w:tcW w:w="546" w:type="dxa"/>
          </w:tcPr>
          <w:p w14:paraId="2C5C18FD" w14:textId="77777777" w:rsidR="0062520D" w:rsidRPr="00F35753" w:rsidRDefault="0062520D" w:rsidP="0062520D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7" w:type="dxa"/>
          </w:tcPr>
          <w:p w14:paraId="64377EBF" w14:textId="4240C791" w:rsidR="0062520D" w:rsidRPr="00F35753" w:rsidRDefault="00054911" w:rsidP="00625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органолептичних показників в питній воді  (запаху, смаку та присмаку, забарвленості, каламутності)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4140" w14:textId="1ECF3DCA" w:rsidR="0062520D" w:rsidRPr="00F35753" w:rsidRDefault="0062520D" w:rsidP="006252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24" w:type="dxa"/>
          </w:tcPr>
          <w:p w14:paraId="4B020240" w14:textId="77777777" w:rsidR="0062520D" w:rsidRPr="00F35753" w:rsidRDefault="0062520D" w:rsidP="0062520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14:paraId="271D2E76" w14:textId="77777777" w:rsidR="0062520D" w:rsidRPr="00F35753" w:rsidRDefault="0062520D" w:rsidP="0062520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520D" w:rsidRPr="00F35753" w14:paraId="78D52342" w14:textId="77777777" w:rsidTr="008A297C">
        <w:trPr>
          <w:trHeight w:val="228"/>
        </w:trPr>
        <w:tc>
          <w:tcPr>
            <w:tcW w:w="4503" w:type="dxa"/>
            <w:gridSpan w:val="2"/>
            <w:vAlign w:val="center"/>
          </w:tcPr>
          <w:p w14:paraId="6B07318F" w14:textId="77777777" w:rsidR="0062520D" w:rsidRPr="00F35753" w:rsidRDefault="0062520D" w:rsidP="0062520D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Вартість без ПДВ, грн.</w:t>
            </w:r>
          </w:p>
        </w:tc>
        <w:tc>
          <w:tcPr>
            <w:tcW w:w="5131" w:type="dxa"/>
            <w:gridSpan w:val="3"/>
          </w:tcPr>
          <w:p w14:paraId="0E053529" w14:textId="77777777" w:rsidR="0062520D" w:rsidRPr="00F35753" w:rsidRDefault="0062520D" w:rsidP="0062520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62520D" w:rsidRPr="00F35753" w14:paraId="3ED50CF6" w14:textId="77777777" w:rsidTr="008A297C">
        <w:trPr>
          <w:trHeight w:val="228"/>
        </w:trPr>
        <w:tc>
          <w:tcPr>
            <w:tcW w:w="4503" w:type="dxa"/>
            <w:gridSpan w:val="2"/>
            <w:vAlign w:val="center"/>
          </w:tcPr>
          <w:p w14:paraId="23B6921D" w14:textId="77777777" w:rsidR="0062520D" w:rsidRPr="00F35753" w:rsidRDefault="0062520D" w:rsidP="0062520D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Вартість ПДВ, грн.</w:t>
            </w:r>
          </w:p>
        </w:tc>
        <w:tc>
          <w:tcPr>
            <w:tcW w:w="5131" w:type="dxa"/>
            <w:gridSpan w:val="3"/>
          </w:tcPr>
          <w:p w14:paraId="2E10352F" w14:textId="77777777" w:rsidR="0062520D" w:rsidRPr="00F35753" w:rsidRDefault="0062520D" w:rsidP="0062520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62520D" w:rsidRPr="00F35753" w14:paraId="038F75A7" w14:textId="77777777" w:rsidTr="008A297C">
        <w:trPr>
          <w:trHeight w:val="228"/>
        </w:trPr>
        <w:tc>
          <w:tcPr>
            <w:tcW w:w="4503" w:type="dxa"/>
            <w:gridSpan w:val="2"/>
            <w:vAlign w:val="center"/>
          </w:tcPr>
          <w:p w14:paraId="0E5F1EC0" w14:textId="77777777" w:rsidR="0062520D" w:rsidRPr="00F35753" w:rsidRDefault="0062520D" w:rsidP="0062520D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5131" w:type="dxa"/>
            <w:gridSpan w:val="3"/>
          </w:tcPr>
          <w:p w14:paraId="722B5602" w14:textId="77777777" w:rsidR="0062520D" w:rsidRPr="00F35753" w:rsidRDefault="0062520D" w:rsidP="0062520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31A142F0" w14:textId="77777777" w:rsidR="00C919B1" w:rsidRPr="00F35753" w:rsidRDefault="00C919B1" w:rsidP="004622B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C728C" w:rsidRPr="00F35753" w14:paraId="2438F948" w14:textId="77777777" w:rsidTr="00CC2A66">
        <w:tc>
          <w:tcPr>
            <w:tcW w:w="4786" w:type="dxa"/>
            <w:shd w:val="clear" w:color="auto" w:fill="auto"/>
          </w:tcPr>
          <w:p w14:paraId="7C4C528D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Виконавець</w:t>
            </w:r>
          </w:p>
        </w:tc>
        <w:tc>
          <w:tcPr>
            <w:tcW w:w="4785" w:type="dxa"/>
            <w:shd w:val="clear" w:color="auto" w:fill="auto"/>
          </w:tcPr>
          <w:p w14:paraId="1707E06A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Замовник</w:t>
            </w:r>
          </w:p>
        </w:tc>
      </w:tr>
      <w:tr w:rsidR="00BC728C" w:rsidRPr="00F35753" w14:paraId="59983F2F" w14:textId="77777777" w:rsidTr="00CC2A66">
        <w:tc>
          <w:tcPr>
            <w:tcW w:w="4786" w:type="dxa"/>
            <w:shd w:val="clear" w:color="auto" w:fill="auto"/>
          </w:tcPr>
          <w:p w14:paraId="38C01087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B46EEEC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Головне управління</w:t>
            </w:r>
          </w:p>
          <w:p w14:paraId="2B48B272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>Держпродспоживслужби</w:t>
            </w:r>
          </w:p>
          <w:p w14:paraId="1EF289AC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  <w:t xml:space="preserve"> в Миколаївській області</w:t>
            </w:r>
          </w:p>
        </w:tc>
      </w:tr>
      <w:tr w:rsidR="00BC728C" w:rsidRPr="00F35753" w14:paraId="7DFD9702" w14:textId="77777777" w:rsidTr="00CC2A66">
        <w:tc>
          <w:tcPr>
            <w:tcW w:w="4786" w:type="dxa"/>
            <w:shd w:val="clear" w:color="auto" w:fill="auto"/>
          </w:tcPr>
          <w:p w14:paraId="40BCD4A7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619D5E8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4003, м"/>
              </w:smartTagPr>
              <w:r w:rsidRPr="00F35753">
                <w:rPr>
                  <w:rFonts w:ascii="Times New Roman" w:eastAsia="Calibri" w:hAnsi="Times New Roman" w:cs="Times New Roman"/>
                  <w:spacing w:val="-2"/>
                  <w:sz w:val="24"/>
                  <w:szCs w:val="24"/>
                  <w:lang w:val="uk-UA"/>
                </w:rPr>
                <w:t>54003, м</w:t>
              </w:r>
            </w:smartTag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. Миколаїв, пр-т Центральний, 288</w:t>
            </w:r>
          </w:p>
          <w:p w14:paraId="182FFE4C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код ЄДРПОУ 40327023</w:t>
            </w:r>
          </w:p>
          <w:p w14:paraId="043B7B5C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р/р UA058201720343180008000094031</w:t>
            </w:r>
          </w:p>
          <w:p w14:paraId="78F8326A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служба України, м. Київ</w:t>
            </w:r>
          </w:p>
          <w:p w14:paraId="64B2FCF9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МФО 820172</w:t>
            </w:r>
          </w:p>
          <w:p w14:paraId="419FCF06" w14:textId="77777777" w:rsidR="00F35753" w:rsidRPr="00F35753" w:rsidRDefault="00F35753" w:rsidP="00F35753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3575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(0512) 30 43 16</w:t>
            </w:r>
          </w:p>
          <w:p w14:paraId="2736D7B2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BC728C" w:rsidRPr="00F35753" w14:paraId="0F170FB3" w14:textId="77777777" w:rsidTr="00CC2A66">
        <w:tc>
          <w:tcPr>
            <w:tcW w:w="4786" w:type="dxa"/>
            <w:shd w:val="clear" w:color="auto" w:fill="auto"/>
          </w:tcPr>
          <w:p w14:paraId="049735A5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13070352" w14:textId="77777777" w:rsidR="00BC728C" w:rsidRPr="00F35753" w:rsidRDefault="00BC728C" w:rsidP="0062520D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BC728C" w:rsidRPr="00F35753" w14:paraId="4452A490" w14:textId="77777777" w:rsidTr="00CC2A66">
        <w:tc>
          <w:tcPr>
            <w:tcW w:w="4786" w:type="dxa"/>
            <w:shd w:val="clear" w:color="auto" w:fill="auto"/>
          </w:tcPr>
          <w:p w14:paraId="02C1EE45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64DE6EEF" w14:textId="68A8B850" w:rsidR="00BC728C" w:rsidRPr="00F35753" w:rsidRDefault="00E11410" w:rsidP="00B21359">
            <w:pPr>
              <w:spacing w:line="240" w:lineRule="auto"/>
              <w:ind w:right="-14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>Н</w:t>
            </w:r>
            <w:r w:rsidR="00BC728C"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 xml:space="preserve">ачальник </w:t>
            </w:r>
          </w:p>
        </w:tc>
      </w:tr>
      <w:tr w:rsidR="00BC728C" w:rsidRPr="00F35753" w14:paraId="075E75E7" w14:textId="77777777" w:rsidTr="00CC2A66">
        <w:tc>
          <w:tcPr>
            <w:tcW w:w="4786" w:type="dxa"/>
            <w:shd w:val="clear" w:color="auto" w:fill="auto"/>
          </w:tcPr>
          <w:p w14:paraId="317FFBB5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15E82EF7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</w:tr>
      <w:tr w:rsidR="00BC728C" w:rsidRPr="00F35753" w14:paraId="3D9A1D28" w14:textId="77777777" w:rsidTr="00CC2A66">
        <w:trPr>
          <w:trHeight w:val="389"/>
        </w:trPr>
        <w:tc>
          <w:tcPr>
            <w:tcW w:w="4786" w:type="dxa"/>
            <w:shd w:val="clear" w:color="auto" w:fill="auto"/>
          </w:tcPr>
          <w:p w14:paraId="4DDDCCEC" w14:textId="77777777" w:rsidR="00BC728C" w:rsidRPr="00F35753" w:rsidRDefault="00BC728C" w:rsidP="00BC728C">
            <w:pPr>
              <w:spacing w:line="240" w:lineRule="auto"/>
              <w:ind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510B67CE" w14:textId="77777777" w:rsidR="00BC728C" w:rsidRPr="00F35753" w:rsidRDefault="00BC728C" w:rsidP="00BC728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2"/>
                <w:sz w:val="24"/>
                <w:szCs w:val="28"/>
                <w:lang w:val="uk-UA" w:eastAsia="en-US"/>
              </w:rPr>
            </w:pPr>
            <w:r w:rsidRPr="00F35753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8"/>
                <w:lang w:val="uk-UA" w:eastAsia="en-US"/>
              </w:rPr>
              <w:t xml:space="preserve">__________________ </w:t>
            </w:r>
          </w:p>
        </w:tc>
      </w:tr>
    </w:tbl>
    <w:p w14:paraId="5C5D60C5" w14:textId="77777777" w:rsidR="00445B40" w:rsidRPr="00F35753" w:rsidRDefault="00445B40" w:rsidP="004622BD">
      <w:pPr>
        <w:contextualSpacing/>
        <w:rPr>
          <w:color w:val="auto"/>
          <w:lang w:val="uk-UA"/>
        </w:rPr>
      </w:pPr>
    </w:p>
    <w:sectPr w:rsidR="00445B40" w:rsidRPr="00F35753" w:rsidSect="00F51E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2A7"/>
    <w:multiLevelType w:val="multilevel"/>
    <w:tmpl w:val="55FE50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764EB2"/>
    <w:multiLevelType w:val="hybridMultilevel"/>
    <w:tmpl w:val="8EEA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114"/>
    <w:multiLevelType w:val="multilevel"/>
    <w:tmpl w:val="5A585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E5045BA"/>
    <w:multiLevelType w:val="hybridMultilevel"/>
    <w:tmpl w:val="2B606CFE"/>
    <w:lvl w:ilvl="0" w:tplc="BEEC18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017DF"/>
    <w:multiLevelType w:val="multilevel"/>
    <w:tmpl w:val="D4903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611081B"/>
    <w:multiLevelType w:val="hybridMultilevel"/>
    <w:tmpl w:val="486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748A1"/>
    <w:multiLevelType w:val="multilevel"/>
    <w:tmpl w:val="FF4CB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2121297928">
    <w:abstractNumId w:val="1"/>
  </w:num>
  <w:num w:numId="2" w16cid:durableId="1066496091">
    <w:abstractNumId w:val="5"/>
  </w:num>
  <w:num w:numId="3" w16cid:durableId="2130468786">
    <w:abstractNumId w:val="4"/>
  </w:num>
  <w:num w:numId="4" w16cid:durableId="1576083181">
    <w:abstractNumId w:val="2"/>
  </w:num>
  <w:num w:numId="5" w16cid:durableId="1003630066">
    <w:abstractNumId w:val="0"/>
  </w:num>
  <w:num w:numId="6" w16cid:durableId="897131710">
    <w:abstractNumId w:val="3"/>
  </w:num>
  <w:num w:numId="7" w16cid:durableId="594094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D"/>
    <w:rsid w:val="000461B4"/>
    <w:rsid w:val="00054911"/>
    <w:rsid w:val="0006432A"/>
    <w:rsid w:val="00077B1A"/>
    <w:rsid w:val="00077CCF"/>
    <w:rsid w:val="0009313C"/>
    <w:rsid w:val="00094F05"/>
    <w:rsid w:val="000E3306"/>
    <w:rsid w:val="000F57DF"/>
    <w:rsid w:val="0012114F"/>
    <w:rsid w:val="0013012A"/>
    <w:rsid w:val="001309DD"/>
    <w:rsid w:val="00143EB5"/>
    <w:rsid w:val="001521C7"/>
    <w:rsid w:val="00157126"/>
    <w:rsid w:val="00182BB8"/>
    <w:rsid w:val="00196AA8"/>
    <w:rsid w:val="0019767A"/>
    <w:rsid w:val="001A2E99"/>
    <w:rsid w:val="001A6396"/>
    <w:rsid w:val="001C781D"/>
    <w:rsid w:val="001D5902"/>
    <w:rsid w:val="002110A4"/>
    <w:rsid w:val="00233C95"/>
    <w:rsid w:val="00256833"/>
    <w:rsid w:val="00257374"/>
    <w:rsid w:val="00287898"/>
    <w:rsid w:val="00292534"/>
    <w:rsid w:val="00295841"/>
    <w:rsid w:val="002A1056"/>
    <w:rsid w:val="002A6668"/>
    <w:rsid w:val="002C1185"/>
    <w:rsid w:val="002D43B7"/>
    <w:rsid w:val="002E36B6"/>
    <w:rsid w:val="002F13BA"/>
    <w:rsid w:val="00304E85"/>
    <w:rsid w:val="0031561E"/>
    <w:rsid w:val="00317F2A"/>
    <w:rsid w:val="0035416B"/>
    <w:rsid w:val="003616B0"/>
    <w:rsid w:val="00384890"/>
    <w:rsid w:val="0039218E"/>
    <w:rsid w:val="003A5D08"/>
    <w:rsid w:val="003B4A55"/>
    <w:rsid w:val="003D7785"/>
    <w:rsid w:val="003E371F"/>
    <w:rsid w:val="003E55F4"/>
    <w:rsid w:val="00410154"/>
    <w:rsid w:val="004209E0"/>
    <w:rsid w:val="00422744"/>
    <w:rsid w:val="0043004F"/>
    <w:rsid w:val="00431854"/>
    <w:rsid w:val="00445B40"/>
    <w:rsid w:val="00450D1E"/>
    <w:rsid w:val="00454B49"/>
    <w:rsid w:val="004622BD"/>
    <w:rsid w:val="00462460"/>
    <w:rsid w:val="00477E61"/>
    <w:rsid w:val="00496A29"/>
    <w:rsid w:val="004C04A6"/>
    <w:rsid w:val="004C1169"/>
    <w:rsid w:val="004D212A"/>
    <w:rsid w:val="004E5A4B"/>
    <w:rsid w:val="00522F70"/>
    <w:rsid w:val="00537E05"/>
    <w:rsid w:val="0054224E"/>
    <w:rsid w:val="00554CA9"/>
    <w:rsid w:val="0055527D"/>
    <w:rsid w:val="00593F0C"/>
    <w:rsid w:val="00596064"/>
    <w:rsid w:val="005A0A80"/>
    <w:rsid w:val="005A183B"/>
    <w:rsid w:val="005B3904"/>
    <w:rsid w:val="005C263F"/>
    <w:rsid w:val="005E3EC6"/>
    <w:rsid w:val="005F06DC"/>
    <w:rsid w:val="005F5F69"/>
    <w:rsid w:val="00603B9A"/>
    <w:rsid w:val="006168A3"/>
    <w:rsid w:val="0062520D"/>
    <w:rsid w:val="006761E7"/>
    <w:rsid w:val="00682425"/>
    <w:rsid w:val="0068326D"/>
    <w:rsid w:val="0069531D"/>
    <w:rsid w:val="00697C52"/>
    <w:rsid w:val="006A6485"/>
    <w:rsid w:val="006C5003"/>
    <w:rsid w:val="006D372E"/>
    <w:rsid w:val="006D5DCB"/>
    <w:rsid w:val="00706580"/>
    <w:rsid w:val="00721A01"/>
    <w:rsid w:val="007241C1"/>
    <w:rsid w:val="00750995"/>
    <w:rsid w:val="007576C6"/>
    <w:rsid w:val="007766F0"/>
    <w:rsid w:val="00790BE7"/>
    <w:rsid w:val="00795528"/>
    <w:rsid w:val="007A112B"/>
    <w:rsid w:val="007A272C"/>
    <w:rsid w:val="007B40F0"/>
    <w:rsid w:val="007B5120"/>
    <w:rsid w:val="007E58A7"/>
    <w:rsid w:val="008155D3"/>
    <w:rsid w:val="008479FC"/>
    <w:rsid w:val="00853B98"/>
    <w:rsid w:val="00855588"/>
    <w:rsid w:val="008653FF"/>
    <w:rsid w:val="008654A2"/>
    <w:rsid w:val="00870ABB"/>
    <w:rsid w:val="00873819"/>
    <w:rsid w:val="008A297C"/>
    <w:rsid w:val="008B32AA"/>
    <w:rsid w:val="00900B77"/>
    <w:rsid w:val="009134AE"/>
    <w:rsid w:val="00931038"/>
    <w:rsid w:val="00934E13"/>
    <w:rsid w:val="009409DE"/>
    <w:rsid w:val="00945341"/>
    <w:rsid w:val="00966B73"/>
    <w:rsid w:val="00990E5B"/>
    <w:rsid w:val="009960EC"/>
    <w:rsid w:val="009D2DDA"/>
    <w:rsid w:val="009E6BB3"/>
    <w:rsid w:val="00A22C94"/>
    <w:rsid w:val="00A37F81"/>
    <w:rsid w:val="00A44808"/>
    <w:rsid w:val="00A47F51"/>
    <w:rsid w:val="00A5573A"/>
    <w:rsid w:val="00A76503"/>
    <w:rsid w:val="00A81764"/>
    <w:rsid w:val="00A85FA3"/>
    <w:rsid w:val="00A94CDD"/>
    <w:rsid w:val="00A95D06"/>
    <w:rsid w:val="00A97902"/>
    <w:rsid w:val="00AA007E"/>
    <w:rsid w:val="00AB3737"/>
    <w:rsid w:val="00AE6E71"/>
    <w:rsid w:val="00B0290E"/>
    <w:rsid w:val="00B07D92"/>
    <w:rsid w:val="00B11BD8"/>
    <w:rsid w:val="00B20211"/>
    <w:rsid w:val="00B21359"/>
    <w:rsid w:val="00B24141"/>
    <w:rsid w:val="00B2688B"/>
    <w:rsid w:val="00B34F75"/>
    <w:rsid w:val="00B52F82"/>
    <w:rsid w:val="00B5484A"/>
    <w:rsid w:val="00B92291"/>
    <w:rsid w:val="00B967D8"/>
    <w:rsid w:val="00BA4833"/>
    <w:rsid w:val="00BC728C"/>
    <w:rsid w:val="00BD3155"/>
    <w:rsid w:val="00BE221B"/>
    <w:rsid w:val="00BF0477"/>
    <w:rsid w:val="00C24184"/>
    <w:rsid w:val="00C26368"/>
    <w:rsid w:val="00C26932"/>
    <w:rsid w:val="00C5175A"/>
    <w:rsid w:val="00C6321E"/>
    <w:rsid w:val="00C90FA0"/>
    <w:rsid w:val="00C919B1"/>
    <w:rsid w:val="00C92B4E"/>
    <w:rsid w:val="00C94493"/>
    <w:rsid w:val="00CA73E7"/>
    <w:rsid w:val="00CB032F"/>
    <w:rsid w:val="00CC2DF9"/>
    <w:rsid w:val="00CC773B"/>
    <w:rsid w:val="00CD23C5"/>
    <w:rsid w:val="00D07403"/>
    <w:rsid w:val="00D101AD"/>
    <w:rsid w:val="00D10B19"/>
    <w:rsid w:val="00D32079"/>
    <w:rsid w:val="00D4745F"/>
    <w:rsid w:val="00D47C67"/>
    <w:rsid w:val="00D64B77"/>
    <w:rsid w:val="00D848AE"/>
    <w:rsid w:val="00D91068"/>
    <w:rsid w:val="00D944DE"/>
    <w:rsid w:val="00D94F13"/>
    <w:rsid w:val="00D9632C"/>
    <w:rsid w:val="00DB034A"/>
    <w:rsid w:val="00DB1E47"/>
    <w:rsid w:val="00DC3496"/>
    <w:rsid w:val="00E11410"/>
    <w:rsid w:val="00E1321D"/>
    <w:rsid w:val="00E13A77"/>
    <w:rsid w:val="00E30CB4"/>
    <w:rsid w:val="00E453C4"/>
    <w:rsid w:val="00E84376"/>
    <w:rsid w:val="00E87413"/>
    <w:rsid w:val="00ED659B"/>
    <w:rsid w:val="00ED7D85"/>
    <w:rsid w:val="00EE55DD"/>
    <w:rsid w:val="00EF4274"/>
    <w:rsid w:val="00F03B23"/>
    <w:rsid w:val="00F11832"/>
    <w:rsid w:val="00F174DC"/>
    <w:rsid w:val="00F25189"/>
    <w:rsid w:val="00F35753"/>
    <w:rsid w:val="00F51E26"/>
    <w:rsid w:val="00F62794"/>
    <w:rsid w:val="00F70444"/>
    <w:rsid w:val="00F87444"/>
    <w:rsid w:val="00F915E9"/>
    <w:rsid w:val="00F92F7A"/>
    <w:rsid w:val="00F96D4D"/>
    <w:rsid w:val="00FA1C80"/>
    <w:rsid w:val="00FB4532"/>
    <w:rsid w:val="00FB56B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6D456"/>
  <w15:docId w15:val="{FBD8F07C-1129-45DB-8F4A-BD1EEDE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8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D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3D77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E2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1B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FA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5683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919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basedOn w:val="a0"/>
    <w:rsid w:val="004622BD"/>
  </w:style>
  <w:style w:type="character" w:styleId="a7">
    <w:name w:val="Hyperlink"/>
    <w:basedOn w:val="a0"/>
    <w:uiPriority w:val="99"/>
    <w:semiHidden/>
    <w:unhideWhenUsed/>
    <w:rsid w:val="0046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D774-9713-4C84-8386-646CF1BC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Лисиганич</dc:creator>
  <cp:keywords/>
  <dc:description/>
  <cp:lastModifiedBy>Виктория Лисиганич</cp:lastModifiedBy>
  <cp:revision>218</cp:revision>
  <cp:lastPrinted>2021-08-26T12:12:00Z</cp:lastPrinted>
  <dcterms:created xsi:type="dcterms:W3CDTF">2018-01-29T06:15:00Z</dcterms:created>
  <dcterms:modified xsi:type="dcterms:W3CDTF">2022-12-09T11:20:00Z</dcterms:modified>
</cp:coreProperties>
</file>