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ПРОЕКТ </w:t>
      </w: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ДОГОВ</w:t>
      </w:r>
      <w:r w:rsidDel="00000000" w:rsidR="00000000" w:rsidRPr="00000000">
        <w:rPr>
          <w:b w:val="1"/>
          <w:sz w:val="26"/>
          <w:szCs w:val="26"/>
          <w:rtl w:val="0"/>
        </w:rPr>
        <w:t xml:space="preserve">О</w:t>
      </w: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РУ </w:t>
      </w:r>
      <w:r w:rsidDel="00000000" w:rsidR="00000000" w:rsidRPr="00000000">
        <w:rPr>
          <w:b w:val="1"/>
          <w:sz w:val="26"/>
          <w:szCs w:val="26"/>
          <w:rtl w:val="0"/>
        </w:rPr>
        <w:t xml:space="preserve">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про надання послуг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0" w:firstLine="0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м. Рівне                                                                </w:t>
        <w:tab/>
        <w:tab/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«</w:t>
      </w:r>
      <w:r w:rsidDel="00000000" w:rsidR="00000000" w:rsidRPr="00000000">
        <w:rPr>
          <w:sz w:val="26"/>
          <w:szCs w:val="26"/>
          <w:rtl w:val="0"/>
        </w:rPr>
        <w:t xml:space="preserve">___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»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________ 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202</w:t>
      </w:r>
      <w:r w:rsidDel="00000000" w:rsidR="00000000" w:rsidRPr="00000000">
        <w:rPr>
          <w:sz w:val="26"/>
          <w:szCs w:val="26"/>
          <w:rtl w:val="0"/>
        </w:rPr>
        <w:t xml:space="preserve">2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567"/>
        <w:rPr>
          <w:color w:val="000000"/>
          <w:sz w:val="26"/>
          <w:szCs w:val="2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0" w:firstLine="567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Комунальний заклад «Рівненський обласний молодіжний пластовий вишкільний центр» Рівненської обласної ради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  (надалі - Замовник), в особі директора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СКЛЯР </w:t>
      </w: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Оксани  Леонідівни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, який діє на підставі Статуту, з однієї сторони, та </w:t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 (надалі - Виконавець), в особі </w:t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________________________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, яка діє на підставі 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, з іншої сторони, разом надалі Виконавець і Замовник називатимуться Сторонами, уклали цей Договір про наступне: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right="0" w:hanging="360"/>
        <w:jc w:val="center"/>
        <w:rPr>
          <w:b w:val="1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Предмет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6"/>
          <w:szCs w:val="26"/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1.1. </w:t>
      </w:r>
      <w:r w:rsidDel="00000000" w:rsidR="00000000" w:rsidRPr="00000000">
        <w:rPr>
          <w:sz w:val="26"/>
          <w:szCs w:val="26"/>
          <w:rtl w:val="0"/>
        </w:rPr>
        <w:t xml:space="preserve">В порядку та на умовах, визначених цим Договором, Сторони домовилися: Виконавець зобов’язується надати послуги гарячого харчування для учасників заходу - вишколу “Школа провідників гуртків” (ДК 021:2015: 55320000-9 Послуги з організації харчування) у відповідності до калькуляції (Додаток № 1 до договору) у період 02-04 грудня 2022 року за адресою: м. Рівне, вул. С. Петлюри, 17, а Замовник зобов’язується прийняти ці послуги та своєчасно здійснити їх оплату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2. Ціна та порядок розрахунків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2.1. Оплата </w:t>
      </w:r>
      <w:r w:rsidDel="00000000" w:rsidR="00000000" w:rsidRPr="00000000">
        <w:rPr>
          <w:sz w:val="26"/>
          <w:szCs w:val="26"/>
          <w:rtl w:val="0"/>
        </w:rPr>
        <w:t xml:space="preserve">п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ослуг проводиться у національній грошовій одиниці  на банківський рахунок Виконавця.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2.2. Загальна сума Договору становить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18450 </w:t>
      </w: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грн. 00 коп.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 (Вісі</w:t>
      </w:r>
      <w:r w:rsidDel="00000000" w:rsidR="00000000" w:rsidRPr="00000000">
        <w:rPr>
          <w:sz w:val="26"/>
          <w:szCs w:val="26"/>
          <w:rtl w:val="0"/>
        </w:rPr>
        <w:t xml:space="preserve">мнадцять тисяч чотириста п’ятдесят гривень 00 копійок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)</w:t>
      </w:r>
      <w:r w:rsidDel="00000000" w:rsidR="00000000" w:rsidRPr="00000000">
        <w:rPr>
          <w:sz w:val="26"/>
          <w:szCs w:val="26"/>
          <w:rtl w:val="0"/>
        </w:rPr>
        <w:t xml:space="preserve"> з 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ПДВ.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2.3. За умови змін власних потреб, Замовник залишає за собою право зменшення чи збільшення загальної суми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2.4. Розрахунки за надані Послуги здійснюються Замовником після підписання Сторонами акту наданих послуг протягом 10 (десяти)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банківських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 днів, після отримання фінансування на реєстраційний рахунок Замовника.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3.Зобов'язання сторін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3.1. </w:t>
      </w:r>
      <w:r w:rsidDel="00000000" w:rsidR="00000000" w:rsidRPr="00000000">
        <w:rPr>
          <w:sz w:val="26"/>
          <w:szCs w:val="26"/>
          <w:rtl w:val="0"/>
        </w:rPr>
        <w:t xml:space="preserve">Замовник дає доручення, а Виконавець зобов'язується за плату надати послуги гарячого харчування учасників під час заходу - вишколу "Школа провідників гуртків"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за місцем його проведення: м. Рівне, вул. С. Петлюри, 17.</w:t>
      </w:r>
    </w:p>
    <w:p w:rsidR="00000000" w:rsidDel="00000000" w:rsidP="00000000" w:rsidRDefault="00000000" w:rsidRPr="00000000" w14:paraId="00000011">
      <w:pPr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3.2. На підтвердження факту надання Виконавцем Замовнику послуг відповідно до умов цього Договору складається акт наданих послуг.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3.3. Замовник зобов’язується оплатити вартість робіт на умовах даного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5" w:right="0" w:firstLine="0"/>
        <w:jc w:val="center"/>
        <w:rPr>
          <w:b w:val="1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5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4.Якість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5" w:right="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4.1.Виконавець повинен надавати Замовнику Послуги, якість яких відповідає умовам стандартів, технічних умов та нормативів, що діють на території України.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5" w:right="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4.2.У разі надання Послуг, що не відповідає вимогам встановленим пунктом 4.1. цього Договору, Виконавець зобов’язаний усунути недоліки за власний рахунок.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5" w:right="0" w:firstLine="0"/>
        <w:jc w:val="center"/>
        <w:rPr>
          <w:b w:val="1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5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5. Строк дії договору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5.1. Даний договір набуває чинності з моменту підписання і діє до 31.12.202</w:t>
      </w:r>
      <w:r w:rsidDel="00000000" w:rsidR="00000000" w:rsidRPr="00000000">
        <w:rPr>
          <w:sz w:val="26"/>
          <w:szCs w:val="26"/>
          <w:rtl w:val="0"/>
        </w:rPr>
        <w:t xml:space="preserve">2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 р. але до повного виконання умов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6. Відповідальність сторін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6.1. В разі надання послуг невідповідної якості Виконавець зобов’язується усунути недоліки.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000000"/>
          <w:sz w:val="26"/>
          <w:szCs w:val="26"/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6.2. За порушення зобов’язань згідно Договору Виконавець сплачує штрафні санкції в розмірі 0,2% суми Договору за кожен день прострочки, але не нижче облікової ставки НБУ.</w:t>
      </w:r>
    </w:p>
    <w:p w:rsidR="00000000" w:rsidDel="00000000" w:rsidP="00000000" w:rsidRDefault="00000000" w:rsidRPr="00000000" w14:paraId="0000001D">
      <w:pPr>
        <w:ind w:left="75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7. Вирішення спорів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5" w:right="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6.1. Спори між сторонами вирішуються шляхом переговорів, а при недосягненні згоди – в судовому порядку.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5" w:right="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6.2. Одностороннє розірвання договору сторонами не допускається.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6.3. Про дострокове розірвання Договору сторони письмово попереджають одна одну у 5-денний термін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5" w:right="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6.4. Всі питання, що не знайшли врегулювання в цьому договорі, вирішуються на підставі чинного законодавства.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8.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зазначених у статті 14-1 Закону України «Про торгово-промислові палати в Україні», які не існували під час укладання Договору та виникли поза волею Сторін.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8.2. Сторона, що не може виконувати зобов’язання за цим Договором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в</w:t>
      </w: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наслідок дії виникнення форс-мажорних обставин (обставин непереборної сили), повинна не пізніше ніж протягом 3 (трьох) днів з моменту їх виникнення, повідомити про це іншу Сторону у письмовій формі.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8.3. Доказом виникнення форс-мажорних обставин (обставин непереборної сили)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9. Інші умови.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5" w:right="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9.1. Даний договір складений в двох ідентичних екземплярах, по одному примірнику у кожної із сторін, що мають однакову юридичну силу.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5" w:right="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9.2. Всі зміни і доповнення до цього Договору повинні бути прийняті лише за згодою сторін у формі додаткових угод, що є невід’ємною частиною цього Договору.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5" w:right="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9.3. . Невід’ємною  і  складовою  цього  Договору є:додаток № 1 «Калькуляція».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10.Юридичні адреси сторін та реквізити сторін: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color w:val="000000"/>
          <w:sz w:val="26"/>
          <w:szCs w:val="26"/>
          <w:vertAlign w:val="baseline"/>
          <w:rtl w:val="0"/>
        </w:rPr>
        <w:t xml:space="preserve">            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4725"/>
        <w:tblGridChange w:id="0">
          <w:tblGrid>
            <w:gridCol w:w="5115"/>
            <w:gridCol w:w="472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Замовник: </w:t>
            </w:r>
          </w:p>
          <w:p w:rsidR="00000000" w:rsidDel="00000000" w:rsidP="00000000" w:rsidRDefault="00000000" w:rsidRPr="00000000" w14:paraId="0000002D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КЗ «Рівненський обласний молодіжний</w:t>
            </w:r>
          </w:p>
          <w:p w:rsidR="00000000" w:rsidDel="00000000" w:rsidP="00000000" w:rsidRDefault="00000000" w:rsidRPr="00000000" w14:paraId="0000002F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пластовий вишкільний центр» РОР</w:t>
            </w:r>
          </w:p>
          <w:p w:rsidR="00000000" w:rsidDel="00000000" w:rsidP="00000000" w:rsidRDefault="00000000" w:rsidRPr="00000000" w14:paraId="0000003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Адреса: Рівненська обл., Рівненський район, </w:t>
            </w:r>
          </w:p>
          <w:p w:rsidR="00000000" w:rsidDel="00000000" w:rsidP="00000000" w:rsidRDefault="00000000" w:rsidRPr="00000000" w14:paraId="0000003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с. Волошки, вул. Зелена, буд. 29-А</w:t>
            </w:r>
          </w:p>
          <w:p w:rsidR="00000000" w:rsidDel="00000000" w:rsidP="00000000" w:rsidRDefault="00000000" w:rsidRPr="00000000" w14:paraId="0000003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р/р UA398201720344270003000158108</w:t>
            </w:r>
          </w:p>
          <w:p w:rsidR="00000000" w:rsidDel="00000000" w:rsidP="00000000" w:rsidRDefault="00000000" w:rsidRPr="00000000" w14:paraId="0000003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у банку ДКСУ м. Київ, </w:t>
              <w:tab/>
            </w:r>
          </w:p>
          <w:p w:rsidR="00000000" w:rsidDel="00000000" w:rsidP="00000000" w:rsidRDefault="00000000" w:rsidRPr="00000000" w14:paraId="0000003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ГУДКСУ у Рівненській області</w:t>
              <w:tab/>
            </w:r>
          </w:p>
          <w:p w:rsidR="00000000" w:rsidDel="00000000" w:rsidP="00000000" w:rsidRDefault="00000000" w:rsidRPr="00000000" w14:paraId="0000003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МФО 820172 </w:t>
              <w:tab/>
              <w:tab/>
            </w:r>
          </w:p>
          <w:p w:rsidR="00000000" w:rsidDel="00000000" w:rsidP="00000000" w:rsidRDefault="00000000" w:rsidRPr="00000000" w14:paraId="00000036">
            <w:pPr>
              <w:ind w:hanging="2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тел.: +380965567742</w:t>
            </w:r>
            <w:r w:rsidDel="00000000" w:rsidR="00000000" w:rsidRPr="00000000">
              <w:rPr>
                <w:sz w:val="26"/>
                <w:szCs w:val="26"/>
                <w:rtl w:val="0"/>
              </w:rPr>
              <w:tab/>
            </w:r>
          </w:p>
          <w:p w:rsidR="00000000" w:rsidDel="00000000" w:rsidP="00000000" w:rsidRDefault="00000000" w:rsidRPr="00000000" w14:paraId="0000003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Код ЄДРПОУ 43435856</w:t>
              <w:tab/>
            </w:r>
          </w:p>
          <w:p w:rsidR="00000000" w:rsidDel="00000000" w:rsidP="00000000" w:rsidRDefault="00000000" w:rsidRPr="00000000" w14:paraId="0000003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hanging="2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____________________ / </w:t>
            </w:r>
            <w:r w:rsidDel="00000000" w:rsidR="00000000" w:rsidRPr="00000000">
              <w:rPr>
                <w:b w:val="1"/>
                <w:rtl w:val="0"/>
              </w:rPr>
              <w:t xml:space="preserve">Оксана СКЛЯР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Виконавець: </w:t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Додаток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sz w:val="26"/>
          <w:szCs w:val="26"/>
          <w:rtl w:val="0"/>
        </w:rPr>
        <w:t xml:space="preserve">до Договору №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sz w:val="26"/>
          <w:szCs w:val="26"/>
          <w:rtl w:val="0"/>
        </w:rPr>
        <w:t xml:space="preserve">від «___» _______2022 року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КАЛЬКУЛЯЦІЯ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9.0" w:type="dxa"/>
        <w:jc w:val="left"/>
        <w:tblLayout w:type="fixed"/>
        <w:tblLook w:val="0000"/>
      </w:tblPr>
      <w:tblGrid>
        <w:gridCol w:w="570"/>
        <w:gridCol w:w="3375"/>
        <w:gridCol w:w="1470"/>
        <w:gridCol w:w="807"/>
        <w:gridCol w:w="1712"/>
        <w:gridCol w:w="1565"/>
        <w:tblGridChange w:id="0">
          <w:tblGrid>
            <w:gridCol w:w="570"/>
            <w:gridCol w:w="3375"/>
            <w:gridCol w:w="1470"/>
            <w:gridCol w:w="807"/>
            <w:gridCol w:w="1712"/>
            <w:gridCol w:w="1565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Найменування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Кількість учасників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Кіл-сть діб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Ціна з ПДВ,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Загальна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сума, 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ПДВ, в 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284"/>
                <w:tab w:val="left" w:pos="42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Послуги гарячого харчування для учасників вишколу “Школа провідників гуртків”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284"/>
                <w:tab w:val="left" w:pos="426"/>
              </w:tabs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(сніданок, обід, вечеря) </w:t>
            </w:r>
            <w:r w:rsidDel="00000000" w:rsidR="00000000" w:rsidRPr="00000000">
              <w:rPr>
                <w:highlight w:val="white"/>
                <w:rtl w:val="0"/>
              </w:rPr>
              <w:t xml:space="preserve">з 02 грудня по 04 грудня 2022 р.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284"/>
                <w:tab w:val="left" w:pos="426"/>
              </w:tabs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284"/>
                <w:tab w:val="left" w:pos="42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Місце проведення заходу:  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284"/>
                <w:tab w:val="left" w:pos="426"/>
              </w:tabs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м. Рівне, вул. С. Петлюри, 17. 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284"/>
                <w:tab w:val="left" w:pos="426"/>
              </w:tabs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18450,00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Сума без ПДВ: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right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ПДВ: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right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Разом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18450,00</w:t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Загальна вартість наданих Послуг становить: </w:t>
      </w:r>
      <w:r w:rsidDel="00000000" w:rsidR="00000000" w:rsidRPr="00000000">
        <w:rPr>
          <w:sz w:val="26"/>
          <w:szCs w:val="26"/>
          <w:rtl w:val="0"/>
        </w:rPr>
        <w:t xml:space="preserve">Вісімнадцять тисяч чотириста п’ятдесят гривень 00 копійок.   </w:t>
      </w:r>
    </w:p>
    <w:p w:rsidR="00000000" w:rsidDel="00000000" w:rsidP="00000000" w:rsidRDefault="00000000" w:rsidRPr="00000000" w14:paraId="0000006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40.0" w:type="dxa"/>
        <w:jc w:val="left"/>
        <w:tblInd w:w="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4725"/>
        <w:tblGridChange w:id="0">
          <w:tblGrid>
            <w:gridCol w:w="5115"/>
            <w:gridCol w:w="472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Замовник: </w:t>
            </w:r>
          </w:p>
          <w:p w:rsidR="00000000" w:rsidDel="00000000" w:rsidP="00000000" w:rsidRDefault="00000000" w:rsidRPr="00000000" w14:paraId="00000071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КЗ «Рівненський обласний молодіжний</w:t>
            </w:r>
          </w:p>
          <w:p w:rsidR="00000000" w:rsidDel="00000000" w:rsidP="00000000" w:rsidRDefault="00000000" w:rsidRPr="00000000" w14:paraId="00000073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пластовий вишкільний центр» РОР</w:t>
            </w:r>
          </w:p>
          <w:p w:rsidR="00000000" w:rsidDel="00000000" w:rsidP="00000000" w:rsidRDefault="00000000" w:rsidRPr="00000000" w14:paraId="0000007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Адреса: Рівненська обл., Рівненський район, </w:t>
            </w:r>
          </w:p>
          <w:p w:rsidR="00000000" w:rsidDel="00000000" w:rsidP="00000000" w:rsidRDefault="00000000" w:rsidRPr="00000000" w14:paraId="0000007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с. Волошки, вул. Зелена, буд. 29-А</w:t>
            </w:r>
          </w:p>
          <w:p w:rsidR="00000000" w:rsidDel="00000000" w:rsidP="00000000" w:rsidRDefault="00000000" w:rsidRPr="00000000" w14:paraId="0000007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р/р UA398201720344270003000158108</w:t>
            </w:r>
          </w:p>
          <w:p w:rsidR="00000000" w:rsidDel="00000000" w:rsidP="00000000" w:rsidRDefault="00000000" w:rsidRPr="00000000" w14:paraId="0000007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у банку ДКСУ м. Київ, </w:t>
              <w:tab/>
            </w:r>
          </w:p>
          <w:p w:rsidR="00000000" w:rsidDel="00000000" w:rsidP="00000000" w:rsidRDefault="00000000" w:rsidRPr="00000000" w14:paraId="0000007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ГУДКСУ у Рівненській області</w:t>
              <w:tab/>
            </w:r>
          </w:p>
          <w:p w:rsidR="00000000" w:rsidDel="00000000" w:rsidP="00000000" w:rsidRDefault="00000000" w:rsidRPr="00000000" w14:paraId="0000007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МФО 820172 </w:t>
              <w:tab/>
              <w:tab/>
            </w:r>
          </w:p>
          <w:p w:rsidR="00000000" w:rsidDel="00000000" w:rsidP="00000000" w:rsidRDefault="00000000" w:rsidRPr="00000000" w14:paraId="0000007A">
            <w:pPr>
              <w:ind w:hanging="2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тел.: +380965567742</w:t>
            </w:r>
            <w:r w:rsidDel="00000000" w:rsidR="00000000" w:rsidRPr="00000000">
              <w:rPr>
                <w:sz w:val="26"/>
                <w:szCs w:val="26"/>
                <w:rtl w:val="0"/>
              </w:rPr>
              <w:tab/>
            </w:r>
          </w:p>
          <w:p w:rsidR="00000000" w:rsidDel="00000000" w:rsidP="00000000" w:rsidRDefault="00000000" w:rsidRPr="00000000" w14:paraId="0000007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Код ЄДРПОУ 43435856</w:t>
              <w:tab/>
            </w:r>
          </w:p>
          <w:p w:rsidR="00000000" w:rsidDel="00000000" w:rsidP="00000000" w:rsidRDefault="00000000" w:rsidRPr="00000000" w14:paraId="0000007C">
            <w:pPr>
              <w:ind w:hanging="2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____________________ / </w:t>
            </w:r>
            <w:r w:rsidDel="00000000" w:rsidR="00000000" w:rsidRPr="00000000">
              <w:rPr>
                <w:b w:val="1"/>
                <w:rtl w:val="0"/>
              </w:rPr>
              <w:t xml:space="preserve">Оксана СКЛЯР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Виконавець: </w:t>
            </w:r>
          </w:p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ru-RU" w:val="ru-RU"/>
    </w:rPr>
  </w:style>
  <w:style w:type="paragraph" w:styleId="Заголовок1">
    <w:name w:val="Заголовок 1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ru-RU"/>
    </w:rPr>
  </w:style>
  <w:style w:type="paragraph" w:styleId="Заголовок2">
    <w:name w:val="Заголовок 2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ru-RU"/>
    </w:rPr>
  </w:style>
  <w:style w:type="paragraph" w:styleId="Заголовок3">
    <w:name w:val="Заголовок 3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Заголовок4">
    <w:name w:val="Заголовок 4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4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5">
    <w:name w:val="Заголовок 5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40" w:before="2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Заголовок6">
    <w:name w:val="Заголовок 6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40" w:before="20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и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Arial" w:eastAsia="Microsoft YaHei" w:hAnsi="Liberation Sans"/>
      <w:color w:val="000000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ru-RU" w:val="ru-RU"/>
    </w:rPr>
  </w:style>
  <w:style w:type="paragraph" w:styleId="Основнийтекст">
    <w:name w:val="Основний текст"/>
    <w:basedOn w:val="Normal"/>
    <w:next w:val="Основни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ru-RU" w:val="ru-RU"/>
    </w:rPr>
  </w:style>
  <w:style w:type="paragraph" w:styleId="Список">
    <w:name w:val="Список"/>
    <w:basedOn w:val="Основни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ru-RU" w:val="ru-RU"/>
    </w:rPr>
  </w:style>
  <w:style w:type="paragraph" w:styleId="Розділ">
    <w:name w:val="Розділ"/>
    <w:basedOn w:val="Normal"/>
    <w:next w:val="Розділ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i w:val="1"/>
      <w:iCs w:val="1"/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ru-RU" w:val="ru-RU"/>
    </w:rPr>
  </w:style>
  <w:style w:type="paragraph" w:styleId="Покажчик">
    <w:name w:val="Покажчик"/>
    <w:basedOn w:val="Normal"/>
    <w:next w:val="Покажчик"/>
    <w:autoRedefine w:val="0"/>
    <w:hidden w:val="0"/>
    <w:qFormat w:val="0"/>
    <w:pPr>
      <w:widowControl w:val="1"/>
      <w:suppressLineNumbers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ru-RU" w:val="ru-RU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">
    <w:name w:val="Назва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NSimSun" w:hAnsi="Times New Roman"/>
      <w:b w:val="1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ru-RU"/>
    </w:rPr>
  </w:style>
  <w:style w:type="paragraph" w:styleId="Підзаголовок">
    <w:name w:val="Підзаголовок"/>
    <w:basedOn w:val="LO-normal"/>
    <w:next w:val="LO-normal"/>
    <w:autoRedefine w:val="0"/>
    <w:hidden w:val="0"/>
    <w:qFormat w:val="0"/>
    <w:pPr>
      <w:keepNext w:val="1"/>
      <w:keepLines w:val="1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bidi w:val="0"/>
      <w:spacing w:after="80" w:before="360" w:line="240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w w:val="100"/>
      <w:kern w:val="0"/>
      <w:position w:val="0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JlMk/17jWanS9c0dSdb/8r5tw==">AMUW2mW2QIbPp8lwKkTKWYqkMel7QHtbnnQWa1yQaUnsG17wi66moWe5INDSQmC4IAuujFcbQOJsiIt1FUIRrN77IqLXi1yAVnMff+VKka/vE8GuwlUHWY9YjkH5kaZGoIouVpScvBwH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2020-10-29T07:54:00Z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