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85" w:rsidRPr="002A52A9" w:rsidRDefault="00A067E1" w:rsidP="002A52A9">
      <w:pPr>
        <w:pStyle w:val="11"/>
        <w:keepNext/>
        <w:keepLines/>
        <w:spacing w:line="240" w:lineRule="auto"/>
        <w:ind w:firstLine="0"/>
        <w:jc w:val="center"/>
        <w:rPr>
          <w:b w:val="0"/>
          <w:color w:val="auto"/>
          <w:sz w:val="24"/>
          <w:szCs w:val="24"/>
        </w:rPr>
      </w:pPr>
      <w:bookmarkStart w:id="0" w:name="bookmark0"/>
      <w:r w:rsidRPr="002A52A9">
        <w:rPr>
          <w:rStyle w:val="10"/>
          <w:b/>
          <w:bCs/>
          <w:color w:val="auto"/>
          <w:sz w:val="24"/>
          <w:szCs w:val="24"/>
        </w:rPr>
        <w:t>ОБҐРУНТУВАННЯ</w:t>
      </w:r>
      <w:bookmarkEnd w:id="0"/>
    </w:p>
    <w:p w:rsidR="00EC5085" w:rsidRPr="002A52A9" w:rsidRDefault="002A52A9" w:rsidP="002A52A9">
      <w:pPr>
        <w:pStyle w:val="1"/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  <w:r>
        <w:rPr>
          <w:rStyle w:val="a3"/>
          <w:b/>
          <w:color w:val="auto"/>
          <w:sz w:val="24"/>
          <w:szCs w:val="24"/>
        </w:rPr>
        <w:t>підстави д</w:t>
      </w:r>
      <w:r w:rsidR="00A067E1" w:rsidRPr="002A52A9">
        <w:rPr>
          <w:rStyle w:val="a3"/>
          <w:b/>
          <w:color w:val="auto"/>
          <w:sz w:val="24"/>
          <w:szCs w:val="24"/>
        </w:rPr>
        <w:t xml:space="preserve">ля здійснення закупівлі </w:t>
      </w:r>
      <w:r w:rsidR="00A067E1" w:rsidRPr="002A52A9">
        <w:rPr>
          <w:rStyle w:val="a3"/>
          <w:b/>
          <w:bCs/>
          <w:color w:val="auto"/>
          <w:sz w:val="24"/>
          <w:szCs w:val="24"/>
        </w:rPr>
        <w:t xml:space="preserve">згідно з підпунктом 5 пункту 13 Особливостей </w:t>
      </w:r>
      <w:r w:rsidR="00A067E1" w:rsidRPr="002A52A9">
        <w:rPr>
          <w:rStyle w:val="a3"/>
          <w:b/>
          <w:color w:val="auto"/>
          <w:sz w:val="24"/>
          <w:szCs w:val="24"/>
        </w:rPr>
        <w:t>здійснення публічних</w:t>
      </w:r>
      <w:r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="00A067E1" w:rsidRPr="002A52A9">
        <w:rPr>
          <w:rStyle w:val="a3"/>
          <w:b/>
          <w:color w:val="auto"/>
          <w:sz w:val="24"/>
          <w:szCs w:val="24"/>
        </w:rPr>
        <w:t>закупівель</w:t>
      </w:r>
      <w:proofErr w:type="spellEnd"/>
      <w:r w:rsidR="00A067E1" w:rsidRPr="002A52A9">
        <w:rPr>
          <w:rStyle w:val="a3"/>
          <w:b/>
          <w:color w:val="auto"/>
          <w:sz w:val="24"/>
          <w:szCs w:val="24"/>
        </w:rPr>
        <w:t xml:space="preserve"> товарів, робіт і послуг для замовників, передбачених Законом України «Про публічні</w:t>
      </w:r>
      <w:r>
        <w:rPr>
          <w:rStyle w:val="a3"/>
          <w:b/>
          <w:color w:val="auto"/>
          <w:sz w:val="24"/>
          <w:szCs w:val="24"/>
        </w:rPr>
        <w:t xml:space="preserve"> </w:t>
      </w:r>
      <w:r w:rsidR="00A067E1" w:rsidRPr="002A52A9">
        <w:rPr>
          <w:rStyle w:val="a3"/>
          <w:b/>
          <w:color w:val="auto"/>
          <w:sz w:val="24"/>
          <w:szCs w:val="24"/>
        </w:rPr>
        <w:t xml:space="preserve">закупівлі», на період дії правового </w:t>
      </w:r>
      <w:r w:rsidR="00A067E1" w:rsidRPr="002A52A9">
        <w:rPr>
          <w:rStyle w:val="a3"/>
          <w:b/>
          <w:color w:val="auto"/>
          <w:sz w:val="24"/>
          <w:szCs w:val="24"/>
        </w:rPr>
        <w:t>режиму воєнного стану в Україні та протягом 90 днів з дня його</w:t>
      </w:r>
      <w:r>
        <w:rPr>
          <w:rStyle w:val="a3"/>
          <w:b/>
          <w:color w:val="auto"/>
          <w:sz w:val="24"/>
          <w:szCs w:val="24"/>
        </w:rPr>
        <w:t xml:space="preserve"> </w:t>
      </w:r>
      <w:r w:rsidR="00A067E1" w:rsidRPr="002A52A9">
        <w:rPr>
          <w:rStyle w:val="a3"/>
          <w:b/>
          <w:color w:val="auto"/>
          <w:sz w:val="24"/>
          <w:szCs w:val="24"/>
        </w:rPr>
        <w:t xml:space="preserve">припинення або скасування, затверджених постановою від 12.10.2022 № 1178 (далі </w:t>
      </w:r>
      <w:r w:rsidR="00A067E1" w:rsidRPr="002A52A9">
        <w:rPr>
          <w:rStyle w:val="a3"/>
          <w:b/>
          <w:color w:val="auto"/>
          <w:sz w:val="24"/>
          <w:szCs w:val="24"/>
        </w:rPr>
        <w:t xml:space="preserve">— </w:t>
      </w:r>
      <w:r w:rsidR="00A067E1" w:rsidRPr="002A52A9">
        <w:rPr>
          <w:rStyle w:val="a3"/>
          <w:b/>
          <w:color w:val="auto"/>
          <w:sz w:val="24"/>
          <w:szCs w:val="24"/>
        </w:rPr>
        <w:t>Особливості)</w:t>
      </w:r>
    </w:p>
    <w:p w:rsidR="002A52A9" w:rsidRDefault="002A52A9" w:rsidP="002A52A9">
      <w:pPr>
        <w:pStyle w:val="1"/>
        <w:spacing w:line="240" w:lineRule="auto"/>
        <w:ind w:firstLine="0"/>
        <w:jc w:val="both"/>
        <w:rPr>
          <w:rStyle w:val="a3"/>
          <w:b/>
          <w:bCs/>
          <w:color w:val="auto"/>
          <w:sz w:val="24"/>
          <w:szCs w:val="24"/>
        </w:rPr>
      </w:pPr>
    </w:p>
    <w:p w:rsidR="00EC5085" w:rsidRPr="002A52A9" w:rsidRDefault="00A067E1" w:rsidP="002A52A9">
      <w:pPr>
        <w:pStyle w:val="1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2A52A9">
        <w:rPr>
          <w:rStyle w:val="a3"/>
          <w:b/>
          <w:bCs/>
          <w:color w:val="auto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</w:t>
      </w:r>
      <w:r w:rsidR="002A52A9" w:rsidRPr="002A52A9">
        <w:rPr>
          <w:rStyle w:val="a3"/>
          <w:b/>
          <w:bCs/>
          <w:color w:val="auto"/>
          <w:sz w:val="24"/>
          <w:szCs w:val="24"/>
        </w:rPr>
        <w:t>чних осіб</w:t>
      </w:r>
      <w:r w:rsidRPr="002A52A9">
        <w:rPr>
          <w:rStyle w:val="a3"/>
          <w:bCs/>
          <w:color w:val="auto"/>
          <w:sz w:val="24"/>
          <w:szCs w:val="24"/>
        </w:rPr>
        <w:t>:</w:t>
      </w:r>
      <w:r w:rsidR="002A52A9" w:rsidRPr="002A52A9">
        <w:rPr>
          <w:rStyle w:val="a3"/>
          <w:color w:val="auto"/>
          <w:sz w:val="24"/>
          <w:szCs w:val="24"/>
        </w:rPr>
        <w:t xml:space="preserve"> </w:t>
      </w:r>
      <w:r w:rsidR="002A52A9">
        <w:rPr>
          <w:rStyle w:val="a3"/>
          <w:color w:val="auto"/>
          <w:sz w:val="24"/>
          <w:szCs w:val="24"/>
          <w:u w:val="single"/>
        </w:rPr>
        <w:t>«Кропивницький професійний ліцей» Кіровоградської обласної ради</w:t>
      </w:r>
      <w:r w:rsidRPr="002A52A9">
        <w:rPr>
          <w:rStyle w:val="a3"/>
          <w:color w:val="auto"/>
          <w:sz w:val="24"/>
          <w:szCs w:val="24"/>
          <w:u w:val="single"/>
        </w:rPr>
        <w:t>, 25</w:t>
      </w:r>
      <w:r w:rsidR="002A52A9">
        <w:rPr>
          <w:rStyle w:val="a3"/>
          <w:color w:val="auto"/>
          <w:sz w:val="24"/>
          <w:szCs w:val="24"/>
          <w:u w:val="single"/>
        </w:rPr>
        <w:t>031</w:t>
      </w:r>
      <w:r w:rsidRPr="002A52A9">
        <w:rPr>
          <w:rStyle w:val="a3"/>
          <w:color w:val="auto"/>
          <w:sz w:val="24"/>
          <w:szCs w:val="24"/>
          <w:u w:val="single"/>
        </w:rPr>
        <w:t xml:space="preserve">, Кіровоградська область, м. Кропивницький, вул. </w:t>
      </w:r>
      <w:r w:rsidR="002A52A9">
        <w:rPr>
          <w:rStyle w:val="a3"/>
          <w:color w:val="auto"/>
          <w:sz w:val="24"/>
          <w:szCs w:val="24"/>
          <w:u w:val="single"/>
        </w:rPr>
        <w:t>Героїв рятувальників</w:t>
      </w:r>
      <w:r w:rsidRPr="002A52A9">
        <w:rPr>
          <w:rStyle w:val="a3"/>
          <w:color w:val="auto"/>
          <w:sz w:val="24"/>
          <w:szCs w:val="24"/>
          <w:u w:val="single"/>
        </w:rPr>
        <w:t>, буд.</w:t>
      </w:r>
      <w:r w:rsidR="002A52A9">
        <w:rPr>
          <w:rStyle w:val="a3"/>
          <w:color w:val="auto"/>
          <w:sz w:val="24"/>
          <w:szCs w:val="24"/>
          <w:u w:val="single"/>
        </w:rPr>
        <w:t>15, ЄДРПОУ 02544891</w:t>
      </w:r>
    </w:p>
    <w:p w:rsidR="00EC5085" w:rsidRPr="002A52A9" w:rsidRDefault="00A067E1" w:rsidP="002A52A9">
      <w:pPr>
        <w:pStyle w:val="1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2A52A9">
        <w:rPr>
          <w:rStyle w:val="a3"/>
          <w:b/>
          <w:bCs/>
          <w:color w:val="auto"/>
          <w:sz w:val="24"/>
          <w:szCs w:val="24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</w:t>
      </w:r>
      <w:r w:rsidRPr="002A52A9">
        <w:rPr>
          <w:rStyle w:val="a3"/>
          <w:b/>
          <w:bCs/>
          <w:color w:val="auto"/>
          <w:sz w:val="24"/>
          <w:szCs w:val="24"/>
        </w:rPr>
        <w:t>та назви відповідних класифікаторів предмета закупівлі й частин предмета закупівлі (лотів) (за наявності):</w:t>
      </w:r>
      <w:r w:rsidR="002A52A9">
        <w:rPr>
          <w:rStyle w:val="a3"/>
          <w:b/>
          <w:bCs/>
          <w:color w:val="auto"/>
          <w:sz w:val="24"/>
          <w:szCs w:val="24"/>
        </w:rPr>
        <w:t xml:space="preserve"> </w:t>
      </w:r>
      <w:r w:rsidRPr="002A52A9">
        <w:rPr>
          <w:rStyle w:val="a3"/>
          <w:color w:val="auto"/>
          <w:sz w:val="24"/>
          <w:szCs w:val="24"/>
          <w:u w:val="single"/>
        </w:rPr>
        <w:t xml:space="preserve">за ДК 021:2015 09320000-8: Пара, гаряча вода та пов’язана продукція </w:t>
      </w:r>
      <w:r w:rsidR="002A52A9">
        <w:rPr>
          <w:rStyle w:val="a3"/>
          <w:color w:val="auto"/>
          <w:sz w:val="24"/>
          <w:szCs w:val="24"/>
          <w:u w:val="single"/>
        </w:rPr>
        <w:t>(</w:t>
      </w:r>
      <w:r w:rsidR="002A52A9">
        <w:rPr>
          <w:rStyle w:val="a3"/>
          <w:color w:val="auto"/>
          <w:sz w:val="24"/>
          <w:szCs w:val="24"/>
        </w:rPr>
        <w:t>Т</w:t>
      </w:r>
      <w:r w:rsidRPr="002A52A9">
        <w:rPr>
          <w:rStyle w:val="a3"/>
          <w:color w:val="auto"/>
          <w:sz w:val="24"/>
          <w:szCs w:val="24"/>
        </w:rPr>
        <w:t>еплов</w:t>
      </w:r>
      <w:r w:rsidR="002A52A9">
        <w:rPr>
          <w:rStyle w:val="a3"/>
          <w:color w:val="auto"/>
          <w:sz w:val="24"/>
          <w:szCs w:val="24"/>
        </w:rPr>
        <w:t>а</w:t>
      </w:r>
      <w:r w:rsidRPr="002A52A9">
        <w:rPr>
          <w:rStyle w:val="a3"/>
          <w:color w:val="auto"/>
          <w:sz w:val="24"/>
          <w:szCs w:val="24"/>
        </w:rPr>
        <w:t xml:space="preserve"> енергі</w:t>
      </w:r>
      <w:r w:rsidR="002A52A9">
        <w:rPr>
          <w:rStyle w:val="a3"/>
          <w:color w:val="auto"/>
          <w:sz w:val="24"/>
          <w:szCs w:val="24"/>
        </w:rPr>
        <w:t>я</w:t>
      </w:r>
      <w:r w:rsidRPr="002A52A9">
        <w:rPr>
          <w:rStyle w:val="a3"/>
          <w:color w:val="auto"/>
          <w:sz w:val="24"/>
          <w:szCs w:val="24"/>
        </w:rPr>
        <w:t>)</w:t>
      </w:r>
    </w:p>
    <w:p w:rsidR="00EC5085" w:rsidRPr="002A52A9" w:rsidRDefault="00A067E1" w:rsidP="002A52A9">
      <w:pPr>
        <w:pStyle w:val="1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2A52A9">
        <w:rPr>
          <w:rStyle w:val="a3"/>
          <w:b/>
          <w:bCs/>
          <w:color w:val="auto"/>
          <w:sz w:val="24"/>
          <w:szCs w:val="24"/>
        </w:rPr>
        <w:t>Розмір бюджетного призн</w:t>
      </w:r>
      <w:r w:rsidRPr="002A52A9">
        <w:rPr>
          <w:rStyle w:val="a3"/>
          <w:b/>
          <w:bCs/>
          <w:color w:val="auto"/>
          <w:sz w:val="24"/>
          <w:szCs w:val="24"/>
        </w:rPr>
        <w:t>ачення:</w:t>
      </w:r>
    </w:p>
    <w:p w:rsidR="00EC5085" w:rsidRPr="002A52A9" w:rsidRDefault="002A52A9" w:rsidP="002A52A9">
      <w:pPr>
        <w:pStyle w:val="1"/>
        <w:spacing w:line="240" w:lineRule="auto"/>
        <w:ind w:firstLine="0"/>
        <w:jc w:val="both"/>
        <w:rPr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  <w:u w:val="single"/>
        </w:rPr>
        <w:t>1 518 600,00</w:t>
      </w:r>
      <w:r w:rsidR="00A067E1" w:rsidRPr="002A52A9">
        <w:rPr>
          <w:rStyle w:val="a3"/>
          <w:color w:val="auto"/>
          <w:sz w:val="24"/>
          <w:szCs w:val="24"/>
          <w:u w:val="single"/>
        </w:rPr>
        <w:t xml:space="preserve"> грн. (</w:t>
      </w:r>
      <w:r>
        <w:rPr>
          <w:rStyle w:val="a3"/>
          <w:color w:val="auto"/>
          <w:sz w:val="24"/>
          <w:szCs w:val="24"/>
          <w:u w:val="single"/>
        </w:rPr>
        <w:t>один мільйон п’ятсот вісімнадцять тисяч шістсот грн. 00</w:t>
      </w:r>
      <w:r w:rsidR="00A067E1" w:rsidRPr="002A52A9">
        <w:rPr>
          <w:rStyle w:val="a3"/>
          <w:color w:val="auto"/>
          <w:sz w:val="24"/>
          <w:szCs w:val="24"/>
          <w:u w:val="single"/>
        </w:rPr>
        <w:t xml:space="preserve"> коп</w:t>
      </w:r>
      <w:r>
        <w:rPr>
          <w:rStyle w:val="a3"/>
          <w:color w:val="auto"/>
          <w:sz w:val="24"/>
          <w:szCs w:val="24"/>
          <w:u w:val="single"/>
        </w:rPr>
        <w:t>.</w:t>
      </w:r>
      <w:r w:rsidR="00A067E1" w:rsidRPr="002A52A9">
        <w:rPr>
          <w:rStyle w:val="a3"/>
          <w:color w:val="auto"/>
          <w:sz w:val="24"/>
          <w:szCs w:val="24"/>
          <w:u w:val="single"/>
        </w:rPr>
        <w:t>)</w:t>
      </w:r>
      <w:r>
        <w:rPr>
          <w:rStyle w:val="a3"/>
          <w:color w:val="auto"/>
          <w:sz w:val="24"/>
          <w:szCs w:val="24"/>
          <w:u w:val="single"/>
        </w:rPr>
        <w:t>, в тому числі ПДВ 20% - 253 100,00 грн.</w:t>
      </w:r>
    </w:p>
    <w:p w:rsidR="00EC5085" w:rsidRPr="002A52A9" w:rsidRDefault="00A067E1" w:rsidP="002A52A9">
      <w:pPr>
        <w:pStyle w:val="1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2A52A9">
        <w:rPr>
          <w:rStyle w:val="a3"/>
          <w:b/>
          <w:bCs/>
          <w:color w:val="auto"/>
          <w:sz w:val="24"/>
          <w:szCs w:val="24"/>
        </w:rPr>
        <w:t xml:space="preserve">Підстави для здійснення закупівлі: </w:t>
      </w:r>
      <w:r w:rsidRPr="0047123E">
        <w:rPr>
          <w:rStyle w:val="a3"/>
          <w:iCs/>
          <w:color w:val="auto"/>
          <w:sz w:val="24"/>
          <w:szCs w:val="24"/>
        </w:rPr>
        <w:t>відповідно до підпункту 5 пункту 13 Особливостей роботи, товари чи послуги можуть бути виконані, поставлені чи надані виключн</w:t>
      </w:r>
      <w:r w:rsidRPr="0047123E">
        <w:rPr>
          <w:rStyle w:val="a3"/>
          <w:iCs/>
          <w:color w:val="auto"/>
          <w:sz w:val="24"/>
          <w:szCs w:val="24"/>
        </w:rPr>
        <w:t>о певним суб’єктом господарювання у випадку відсутності конкуренції з технічних причин, яка повинна бути документально підтверджена замовником.</w:t>
      </w:r>
    </w:p>
    <w:p w:rsidR="00EC5085" w:rsidRPr="002A52A9" w:rsidRDefault="00A067E1" w:rsidP="002A52A9">
      <w:pPr>
        <w:pStyle w:val="1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2A52A9">
        <w:rPr>
          <w:rStyle w:val="a3"/>
          <w:b/>
          <w:bCs/>
          <w:color w:val="auto"/>
          <w:sz w:val="24"/>
          <w:szCs w:val="24"/>
        </w:rPr>
        <w:t>Обґрунтування підстави для здійснення закупівлі:</w:t>
      </w:r>
    </w:p>
    <w:p w:rsidR="00EC5085" w:rsidRPr="00A947FB" w:rsidRDefault="00A067E1" w:rsidP="002A52A9">
      <w:pPr>
        <w:pStyle w:val="1"/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A947FB">
        <w:rPr>
          <w:rStyle w:val="a3"/>
          <w:iCs/>
          <w:color w:val="auto"/>
          <w:sz w:val="24"/>
          <w:szCs w:val="24"/>
        </w:rPr>
        <w:t>Положеннями Особливостей передбачено підставу для здійснення за</w:t>
      </w:r>
      <w:r w:rsidRPr="00A947FB">
        <w:rPr>
          <w:rStyle w:val="a3"/>
          <w:iCs/>
          <w:color w:val="auto"/>
          <w:sz w:val="24"/>
          <w:szCs w:val="24"/>
        </w:rPr>
        <w:t xml:space="preserve">купівлі за підпунктом 5 пункту 13: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</w:t>
      </w:r>
      <w:r w:rsidRPr="00A947FB">
        <w:rPr>
          <w:rStyle w:val="a3"/>
          <w:iCs/>
          <w:color w:val="auto"/>
          <w:sz w:val="24"/>
          <w:szCs w:val="24"/>
        </w:rPr>
        <w:t xml:space="preserve">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</w:t>
      </w:r>
      <w:r w:rsidRPr="00A947FB">
        <w:rPr>
          <w:rStyle w:val="a3"/>
          <w:iCs/>
          <w:color w:val="auto"/>
          <w:sz w:val="24"/>
          <w:szCs w:val="24"/>
        </w:rPr>
        <w:t>суб’єктом господарювання у випадку відсутності конкуренції з технічних причин, яка повинна бути документально підтверджена замовником.</w:t>
      </w:r>
    </w:p>
    <w:p w:rsidR="00EC5085" w:rsidRPr="002A52A9" w:rsidRDefault="00A067E1" w:rsidP="002A52A9">
      <w:pPr>
        <w:pStyle w:val="1"/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>Обсяг закупівлі визначається з урахуванням потреби замовника на період з 01.01.2024 по 31.12.2024 року.</w:t>
      </w:r>
    </w:p>
    <w:p w:rsidR="00EC5085" w:rsidRPr="002A52A9" w:rsidRDefault="00A067E1" w:rsidP="002A52A9">
      <w:pPr>
        <w:pStyle w:val="1"/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>Відносини, що вин</w:t>
      </w:r>
      <w:r w:rsidRPr="002A52A9">
        <w:rPr>
          <w:rStyle w:val="a3"/>
          <w:color w:val="auto"/>
          <w:sz w:val="24"/>
          <w:szCs w:val="24"/>
        </w:rPr>
        <w:t xml:space="preserve">икають у процесі надання споживачам послуг з постачання теплової енергії регулює Закон України «Про житлово-комунальні послуги» від 09.11.2017 № 2189-VIII (далі </w:t>
      </w:r>
      <w:r w:rsidRPr="002A52A9">
        <w:rPr>
          <w:rStyle w:val="a3"/>
          <w:color w:val="auto"/>
          <w:sz w:val="24"/>
          <w:szCs w:val="24"/>
        </w:rPr>
        <w:t xml:space="preserve">— </w:t>
      </w:r>
      <w:r w:rsidRPr="002A52A9">
        <w:rPr>
          <w:rStyle w:val="a3"/>
          <w:color w:val="auto"/>
          <w:sz w:val="24"/>
          <w:szCs w:val="24"/>
        </w:rPr>
        <w:t>Закон № 2189). Адже відповідно до частини пункту 2 частини 1 статті 5 Закону № 2189 послуги з</w:t>
      </w:r>
      <w:r w:rsidRPr="002A52A9">
        <w:rPr>
          <w:rStyle w:val="a3"/>
          <w:color w:val="auto"/>
          <w:sz w:val="24"/>
          <w:szCs w:val="24"/>
        </w:rPr>
        <w:t xml:space="preserve"> постачання теплової енергії належать до житлово-комунальних послуг.</w:t>
      </w:r>
    </w:p>
    <w:p w:rsidR="00EC5085" w:rsidRPr="002A52A9" w:rsidRDefault="00A067E1" w:rsidP="002A52A9">
      <w:pPr>
        <w:pStyle w:val="1"/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>Державна політика у сфері житлово-комунальних послуг ґрунтується, зокрема, на принципах створення та підтримання конкурентного середовища при виробленні та наданні житлово-комунальних пос</w:t>
      </w:r>
      <w:r w:rsidRPr="002A52A9">
        <w:rPr>
          <w:rStyle w:val="a3"/>
          <w:color w:val="auto"/>
          <w:sz w:val="24"/>
          <w:szCs w:val="24"/>
        </w:rPr>
        <w:t>луг, забезпечення контролю у сфері діяльності природних монополій (ч. 1 ст. З Закону № 2189)</w:t>
      </w:r>
    </w:p>
    <w:p w:rsidR="00EC5085" w:rsidRPr="002A52A9" w:rsidRDefault="00A067E1" w:rsidP="002A52A9">
      <w:pPr>
        <w:pStyle w:val="1"/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>Органом державного регулювання у сфері комунальних послуг є національна комісія, що здійснює державне регулювання у сферах енергетики та комунальних послуг (ст.2 З</w:t>
      </w:r>
      <w:r w:rsidRPr="002A52A9">
        <w:rPr>
          <w:rStyle w:val="a3"/>
          <w:color w:val="auto"/>
          <w:sz w:val="24"/>
          <w:szCs w:val="24"/>
        </w:rPr>
        <w:t xml:space="preserve">акону України «Про державне регулювання у сфері комунальних послуг» від 09.07.2010р. № 2479-VI (далі </w:t>
      </w:r>
      <w:r w:rsidRPr="002A52A9">
        <w:rPr>
          <w:rStyle w:val="a3"/>
          <w:color w:val="auto"/>
          <w:sz w:val="24"/>
          <w:szCs w:val="24"/>
        </w:rPr>
        <w:t xml:space="preserve">- </w:t>
      </w:r>
      <w:r w:rsidRPr="002A52A9">
        <w:rPr>
          <w:rStyle w:val="a3"/>
          <w:color w:val="auto"/>
          <w:sz w:val="24"/>
          <w:szCs w:val="24"/>
        </w:rPr>
        <w:t>Закон 2479).</w:t>
      </w:r>
    </w:p>
    <w:p w:rsidR="00EC5085" w:rsidRPr="002A52A9" w:rsidRDefault="00A067E1" w:rsidP="002A52A9">
      <w:pPr>
        <w:pStyle w:val="1"/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>НКРЕКП застосовує, зокрема, такі засоби регуляторного впливу на суб’єктів природних монополій та суб'єктів господарювання на суміжних ринках</w:t>
      </w:r>
      <w:r w:rsidRPr="002A52A9">
        <w:rPr>
          <w:rStyle w:val="a3"/>
          <w:color w:val="auto"/>
          <w:sz w:val="24"/>
          <w:szCs w:val="24"/>
        </w:rPr>
        <w:t>, як ліцензування господарської діяльності, контроль за дотриманням ліцензійних умов та встановлення тарифів на комунальні послуги для суб'єктів природних монополій та суб'єктів господарювання на суміжних ринках.</w:t>
      </w:r>
    </w:p>
    <w:p w:rsidR="00EC5085" w:rsidRPr="002A52A9" w:rsidRDefault="00A067E1" w:rsidP="002A52A9">
      <w:pPr>
        <w:pStyle w:val="1"/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 xml:space="preserve">Постачання теплової енергії (теплопостачання) </w:t>
      </w:r>
      <w:r w:rsidRPr="002A52A9">
        <w:rPr>
          <w:rStyle w:val="a3"/>
          <w:color w:val="auto"/>
          <w:sz w:val="24"/>
          <w:szCs w:val="24"/>
        </w:rPr>
        <w:t xml:space="preserve">- </w:t>
      </w:r>
      <w:r w:rsidRPr="002A52A9">
        <w:rPr>
          <w:rStyle w:val="a3"/>
          <w:color w:val="auto"/>
          <w:sz w:val="24"/>
          <w:szCs w:val="24"/>
        </w:rPr>
        <w:t>господарська діяльність, пов’язана з наданням теплової енергії (теплоносія) споживачам за допомогою технічних засобів транспортування та розподілом теплової енергії на підставі договору (стаття 1 Закону Украї</w:t>
      </w:r>
      <w:r w:rsidRPr="002A52A9">
        <w:rPr>
          <w:rStyle w:val="a3"/>
          <w:color w:val="auto"/>
          <w:sz w:val="24"/>
          <w:szCs w:val="24"/>
        </w:rPr>
        <w:t xml:space="preserve">ни «Про теплопостачання» від 02.06.2005 № 2633-ІУ; далі </w:t>
      </w:r>
      <w:r w:rsidRPr="002A52A9">
        <w:rPr>
          <w:rStyle w:val="a3"/>
          <w:color w:val="auto"/>
          <w:sz w:val="24"/>
          <w:szCs w:val="24"/>
        </w:rPr>
        <w:t xml:space="preserve">— </w:t>
      </w:r>
      <w:r w:rsidRPr="002A52A9">
        <w:rPr>
          <w:rStyle w:val="a3"/>
          <w:color w:val="auto"/>
          <w:sz w:val="24"/>
          <w:szCs w:val="24"/>
        </w:rPr>
        <w:t>Закон № 2633).</w:t>
      </w:r>
    </w:p>
    <w:p w:rsidR="00A947FB" w:rsidRDefault="00A067E1" w:rsidP="00A947FB">
      <w:pPr>
        <w:pStyle w:val="1"/>
        <w:spacing w:line="240" w:lineRule="auto"/>
        <w:ind w:firstLine="700"/>
        <w:jc w:val="both"/>
        <w:rPr>
          <w:rStyle w:val="a3"/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lastRenderedPageBreak/>
        <w:t xml:space="preserve">Господарська діяльність з виробництва, транспортування, постачання теплової енергії підлягає ліцензуванню в порядку, встановленому законом (ст. 23 Закону № </w:t>
      </w:r>
      <w:r w:rsidRPr="002A52A9">
        <w:rPr>
          <w:rStyle w:val="a3"/>
          <w:color w:val="auto"/>
          <w:sz w:val="24"/>
          <w:szCs w:val="24"/>
        </w:rPr>
        <w:t>2633).</w:t>
      </w:r>
      <w:r w:rsidR="00A947FB">
        <w:rPr>
          <w:rStyle w:val="a3"/>
          <w:color w:val="auto"/>
          <w:sz w:val="24"/>
          <w:szCs w:val="24"/>
        </w:rPr>
        <w:t xml:space="preserve"> </w:t>
      </w:r>
    </w:p>
    <w:p w:rsidR="00EC5085" w:rsidRPr="002A52A9" w:rsidRDefault="00A067E1" w:rsidP="00A947FB">
      <w:pPr>
        <w:pStyle w:val="1"/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>Обласні та Київська міська державні адміністрації здійснюють ліцензування господарськ</w:t>
      </w:r>
      <w:r w:rsidR="00A947FB">
        <w:rPr>
          <w:rStyle w:val="a3"/>
          <w:color w:val="auto"/>
          <w:sz w:val="24"/>
          <w:szCs w:val="24"/>
        </w:rPr>
        <w:t>ої</w:t>
      </w:r>
      <w:r w:rsidRPr="002A52A9">
        <w:rPr>
          <w:rStyle w:val="a3"/>
          <w:color w:val="auto"/>
          <w:sz w:val="24"/>
          <w:szCs w:val="24"/>
        </w:rPr>
        <w:t xml:space="preserve"> діяльності з постачання теплової енергії суб'єктів господарювання у разі, якщо суб'єкт господарювання здійснює (планує здійснювати) постачання теплової енергії н</w:t>
      </w:r>
      <w:r w:rsidRPr="002A52A9">
        <w:rPr>
          <w:rStyle w:val="a3"/>
          <w:color w:val="auto"/>
          <w:sz w:val="24"/>
          <w:szCs w:val="24"/>
        </w:rPr>
        <w:t>а території відповідної області України (території міста Київ) (п. 1.4 Ліцензійних умов провадження господарської діяльності з постачання теплової енергії затвердженою постановою НКРЕКП від 22.03.2017 №</w:t>
      </w:r>
      <w:r w:rsidR="00A947FB">
        <w:rPr>
          <w:rStyle w:val="a3"/>
          <w:color w:val="auto"/>
          <w:sz w:val="24"/>
          <w:szCs w:val="24"/>
        </w:rPr>
        <w:t xml:space="preserve"> 308; далі — Ліцензійні умови).</w:t>
      </w:r>
    </w:p>
    <w:p w:rsidR="00EC5085" w:rsidRPr="002A52A9" w:rsidRDefault="00A067E1" w:rsidP="002A52A9">
      <w:pPr>
        <w:pStyle w:val="1"/>
        <w:spacing w:line="240" w:lineRule="auto"/>
        <w:ind w:firstLine="72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>При провадженні госпо</w:t>
      </w:r>
      <w:r w:rsidRPr="002A52A9">
        <w:rPr>
          <w:rStyle w:val="a3"/>
          <w:color w:val="auto"/>
          <w:sz w:val="24"/>
          <w:szCs w:val="24"/>
        </w:rPr>
        <w:t>дарської діяльності з постачання теплової енергії ліцензіат повинен провадити ліцензовану діяльність виключно в межах місць провадження господарської діяльності та із застосуванням заявлених засобів провадження господарської діяльності, зазначених у відомо</w:t>
      </w:r>
      <w:r w:rsidRPr="002A52A9">
        <w:rPr>
          <w:rStyle w:val="a3"/>
          <w:color w:val="auto"/>
          <w:sz w:val="24"/>
          <w:szCs w:val="24"/>
        </w:rPr>
        <w:t>стях про них, поданих до органу ліцензування згідно з вимогами Ліцензійних умов (</w:t>
      </w:r>
      <w:proofErr w:type="spellStart"/>
      <w:r w:rsidRPr="002A52A9">
        <w:rPr>
          <w:rStyle w:val="a3"/>
          <w:color w:val="auto"/>
          <w:sz w:val="24"/>
          <w:szCs w:val="24"/>
        </w:rPr>
        <w:t>пп</w:t>
      </w:r>
      <w:proofErr w:type="spellEnd"/>
      <w:r w:rsidRPr="002A52A9">
        <w:rPr>
          <w:rStyle w:val="a3"/>
          <w:color w:val="auto"/>
          <w:sz w:val="24"/>
          <w:szCs w:val="24"/>
        </w:rPr>
        <w:t>. З п. 3.2 Ліцензійних умов).</w:t>
      </w:r>
    </w:p>
    <w:p w:rsidR="00EC5085" w:rsidRPr="002A52A9" w:rsidRDefault="00A947FB" w:rsidP="002A52A9">
      <w:pPr>
        <w:pStyle w:val="1"/>
        <w:spacing w:line="240" w:lineRule="auto"/>
        <w:ind w:firstLine="720"/>
        <w:jc w:val="both"/>
        <w:rPr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t>Комунальне підприємство</w:t>
      </w:r>
      <w:r w:rsidR="00A067E1" w:rsidRPr="002A52A9">
        <w:rPr>
          <w:rStyle w:val="a3"/>
          <w:color w:val="auto"/>
          <w:sz w:val="24"/>
          <w:szCs w:val="24"/>
        </w:rPr>
        <w:t xml:space="preserve"> «Теплоенергетик» </w:t>
      </w:r>
      <w:r w:rsidR="008110C7">
        <w:rPr>
          <w:rStyle w:val="a3"/>
          <w:color w:val="auto"/>
          <w:sz w:val="24"/>
          <w:szCs w:val="24"/>
        </w:rPr>
        <w:t>Кропивницької міської ради</w:t>
      </w:r>
      <w:r w:rsidR="00A067E1" w:rsidRPr="002A52A9">
        <w:rPr>
          <w:rStyle w:val="a3"/>
          <w:color w:val="auto"/>
          <w:sz w:val="24"/>
          <w:szCs w:val="24"/>
        </w:rPr>
        <w:t xml:space="preserve">» провадить господарську діяльність на основі відповідно до Постанови НКРЕКП № 208 від 21.02.2017р. «Про переоформлення </w:t>
      </w:r>
      <w:r w:rsidR="00A067E1" w:rsidRPr="002A52A9">
        <w:rPr>
          <w:rStyle w:val="a3"/>
          <w:color w:val="auto"/>
          <w:sz w:val="24"/>
          <w:szCs w:val="24"/>
        </w:rPr>
        <w:t xml:space="preserve">ліцензій з виробництва електричної енергії та з виробництва теплової енергії на теплоелектроцентралях, </w:t>
      </w:r>
      <w:proofErr w:type="spellStart"/>
      <w:r w:rsidR="00A067E1" w:rsidRPr="002A52A9">
        <w:rPr>
          <w:rStyle w:val="a3"/>
          <w:color w:val="auto"/>
          <w:sz w:val="24"/>
          <w:szCs w:val="24"/>
        </w:rPr>
        <w:t>ког</w:t>
      </w:r>
      <w:r w:rsidR="008110C7">
        <w:rPr>
          <w:rStyle w:val="a3"/>
          <w:color w:val="auto"/>
          <w:sz w:val="24"/>
          <w:szCs w:val="24"/>
        </w:rPr>
        <w:t>е</w:t>
      </w:r>
      <w:r w:rsidR="00A067E1" w:rsidRPr="002A52A9">
        <w:rPr>
          <w:rStyle w:val="a3"/>
          <w:color w:val="auto"/>
          <w:sz w:val="24"/>
          <w:szCs w:val="24"/>
        </w:rPr>
        <w:t>нераційних</w:t>
      </w:r>
      <w:proofErr w:type="spellEnd"/>
      <w:r w:rsidR="00A067E1" w:rsidRPr="002A52A9">
        <w:rPr>
          <w:rStyle w:val="a3"/>
          <w:color w:val="auto"/>
          <w:sz w:val="24"/>
          <w:szCs w:val="24"/>
        </w:rPr>
        <w:t xml:space="preserve"> установках та установках з використанням нетрадиційних або поновлюваних джерел енергії, виданих КП «Теплоенергетик»</w:t>
      </w:r>
      <w:r w:rsidR="008110C7">
        <w:rPr>
          <w:rStyle w:val="a3"/>
          <w:color w:val="auto"/>
          <w:sz w:val="24"/>
          <w:szCs w:val="24"/>
        </w:rPr>
        <w:t xml:space="preserve"> КМР»</w:t>
      </w:r>
      <w:r w:rsidR="00A067E1" w:rsidRPr="002A52A9">
        <w:rPr>
          <w:rStyle w:val="a3"/>
          <w:color w:val="auto"/>
          <w:sz w:val="24"/>
          <w:szCs w:val="24"/>
        </w:rPr>
        <w:t>, Постанови НКРЕКП № 20</w:t>
      </w:r>
      <w:r w:rsidR="00A067E1" w:rsidRPr="002A52A9">
        <w:rPr>
          <w:rStyle w:val="a3"/>
          <w:color w:val="auto"/>
          <w:sz w:val="24"/>
          <w:szCs w:val="24"/>
        </w:rPr>
        <w:t xml:space="preserve">7 від 21.02.2017 « Про переоформлення ліцензій на виробництво теплової енергії (крім діяльності з виробництва теплової енергії на теплоелектроцентралях, теплоелектростанціях, атомних електростанціях і </w:t>
      </w:r>
      <w:proofErr w:type="spellStart"/>
      <w:r w:rsidR="00A067E1" w:rsidRPr="002A52A9">
        <w:rPr>
          <w:rStyle w:val="a3"/>
          <w:color w:val="auto"/>
          <w:sz w:val="24"/>
          <w:szCs w:val="24"/>
        </w:rPr>
        <w:t>когенераційних</w:t>
      </w:r>
      <w:proofErr w:type="spellEnd"/>
      <w:r w:rsidR="00A067E1" w:rsidRPr="002A52A9">
        <w:rPr>
          <w:rStyle w:val="a3"/>
          <w:color w:val="auto"/>
          <w:sz w:val="24"/>
          <w:szCs w:val="24"/>
        </w:rPr>
        <w:t xml:space="preserve"> установках та установках з використанням</w:t>
      </w:r>
      <w:r w:rsidR="00A067E1" w:rsidRPr="002A52A9">
        <w:rPr>
          <w:rStyle w:val="a3"/>
          <w:color w:val="auto"/>
          <w:sz w:val="24"/>
          <w:szCs w:val="24"/>
        </w:rPr>
        <w:t xml:space="preserve"> нетрадиційних або поновлюваних джерел енергії’), транспортування теплової енергії магістральними та місцевими (розподільчими) тепловими мережами та постачання теплової енергії, виданих КП "ТЕПЛОЕНЕРГЕТИК»</w:t>
      </w:r>
      <w:r w:rsidR="008110C7">
        <w:rPr>
          <w:rStyle w:val="a3"/>
          <w:color w:val="auto"/>
          <w:sz w:val="24"/>
          <w:szCs w:val="24"/>
        </w:rPr>
        <w:t xml:space="preserve"> КМР»</w:t>
      </w:r>
      <w:r w:rsidR="00A067E1" w:rsidRPr="002A52A9">
        <w:rPr>
          <w:rStyle w:val="a3"/>
          <w:color w:val="auto"/>
          <w:sz w:val="24"/>
          <w:szCs w:val="24"/>
        </w:rPr>
        <w:t>.</w:t>
      </w:r>
    </w:p>
    <w:p w:rsidR="00EC5085" w:rsidRPr="002A52A9" w:rsidRDefault="00A067E1" w:rsidP="002A52A9">
      <w:pPr>
        <w:pStyle w:val="1"/>
        <w:spacing w:line="240" w:lineRule="auto"/>
        <w:ind w:firstLine="72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 xml:space="preserve">Відповідно до статті 13 Закону № 2633, статті 28 </w:t>
      </w:r>
      <w:r w:rsidRPr="002A52A9">
        <w:rPr>
          <w:rStyle w:val="a3"/>
          <w:color w:val="auto"/>
          <w:sz w:val="24"/>
          <w:szCs w:val="24"/>
        </w:rPr>
        <w:t>Закону України «Про місцеве самоврядування в Україні» від 21.05.1997 № 280/97-ВР до повноважень органів місцевого самоврядування у сфері постачання теплової енергії належить, зокрема, встановлення тарифів на теплову енергію і тарифів на виробництво теплово</w:t>
      </w:r>
      <w:r w:rsidRPr="002A52A9">
        <w:rPr>
          <w:rStyle w:val="a3"/>
          <w:color w:val="auto"/>
          <w:sz w:val="24"/>
          <w:szCs w:val="24"/>
        </w:rPr>
        <w:t xml:space="preserve">ї енергії (крім тарифів на теплову енергію, вироблену на теплоелектроцентралях, теплоелектростанціях, атомних електростанціях та </w:t>
      </w:r>
      <w:proofErr w:type="spellStart"/>
      <w:r w:rsidRPr="002A52A9">
        <w:rPr>
          <w:rStyle w:val="a3"/>
          <w:color w:val="auto"/>
          <w:sz w:val="24"/>
          <w:szCs w:val="24"/>
        </w:rPr>
        <w:t>когенераційних</w:t>
      </w:r>
      <w:proofErr w:type="spellEnd"/>
      <w:r w:rsidRPr="002A52A9">
        <w:rPr>
          <w:rStyle w:val="a3"/>
          <w:color w:val="auto"/>
          <w:sz w:val="24"/>
          <w:szCs w:val="24"/>
        </w:rPr>
        <w:t xml:space="preserve"> установках). Отже, органи місцевого самоврядування встановлюють тарифи на послуги з постачання теплової енергії </w:t>
      </w:r>
      <w:r w:rsidRPr="002A52A9">
        <w:rPr>
          <w:rStyle w:val="a3"/>
          <w:color w:val="auto"/>
          <w:sz w:val="24"/>
          <w:szCs w:val="24"/>
        </w:rPr>
        <w:t>суб’єктам господарювання, які не підпадають під державне регулювання НКРЕКП.</w:t>
      </w:r>
    </w:p>
    <w:p w:rsidR="00EC5085" w:rsidRPr="002A52A9" w:rsidRDefault="00A067E1" w:rsidP="002A52A9">
      <w:pPr>
        <w:pStyle w:val="1"/>
        <w:spacing w:line="240" w:lineRule="auto"/>
        <w:ind w:firstLine="72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 xml:space="preserve">Згідно рішення виконавчого комітету Кропивницької міської ради № 898 </w:t>
      </w:r>
      <w:r w:rsidR="008110C7">
        <w:rPr>
          <w:rStyle w:val="a3"/>
          <w:color w:val="auto"/>
          <w:sz w:val="24"/>
          <w:szCs w:val="24"/>
        </w:rPr>
        <w:t xml:space="preserve">від </w:t>
      </w:r>
      <w:r w:rsidRPr="002A52A9">
        <w:rPr>
          <w:rStyle w:val="a3"/>
          <w:color w:val="auto"/>
          <w:sz w:val="24"/>
          <w:szCs w:val="24"/>
        </w:rPr>
        <w:t>24.10.2023 року, затверджено тариф на послуги з постачання теплової енергії для КП «Теплоенергетик» КМР».</w:t>
      </w:r>
    </w:p>
    <w:p w:rsidR="00EC5085" w:rsidRPr="002A52A9" w:rsidRDefault="00A067E1" w:rsidP="002A52A9">
      <w:pPr>
        <w:pStyle w:val="1"/>
        <w:spacing w:line="240" w:lineRule="auto"/>
        <w:ind w:firstLine="72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 xml:space="preserve">Відповідно до частини 2 статті 5 Закону України “Про природні монополії’” зведений перелік суб’єктів природних монополій ведеться Антимонопольним комітетом України. Згідно з розпорядженням </w:t>
      </w:r>
      <w:r w:rsidRPr="002A52A9">
        <w:rPr>
          <w:rStyle w:val="a3"/>
          <w:color w:val="auto"/>
          <w:sz w:val="24"/>
          <w:szCs w:val="24"/>
          <w:lang w:eastAsia="ru-RU"/>
        </w:rPr>
        <w:t xml:space="preserve">Антимонопольного </w:t>
      </w:r>
      <w:r w:rsidRPr="002A52A9">
        <w:rPr>
          <w:rStyle w:val="a3"/>
          <w:color w:val="auto"/>
          <w:sz w:val="24"/>
          <w:szCs w:val="24"/>
        </w:rPr>
        <w:t xml:space="preserve">комітету України від 28.11.2012 № 874-р зведений перелік суб’єктів природних Монополій розміщується на офіційному веб-сайті </w:t>
      </w:r>
      <w:r w:rsidRPr="002A52A9">
        <w:rPr>
          <w:rStyle w:val="a3"/>
          <w:color w:val="auto"/>
          <w:sz w:val="24"/>
          <w:szCs w:val="24"/>
          <w:lang w:eastAsia="ru-RU"/>
        </w:rPr>
        <w:t xml:space="preserve">Антимонопольного </w:t>
      </w:r>
      <w:r w:rsidRPr="002A52A9">
        <w:rPr>
          <w:rStyle w:val="a3"/>
          <w:color w:val="auto"/>
          <w:sz w:val="24"/>
          <w:szCs w:val="24"/>
        </w:rPr>
        <w:t xml:space="preserve">комітету України </w:t>
      </w:r>
      <w:r w:rsidRPr="002A52A9">
        <w:rPr>
          <w:rStyle w:val="a3"/>
          <w:color w:val="auto"/>
          <w:sz w:val="24"/>
          <w:szCs w:val="24"/>
          <w:lang w:eastAsia="en-US"/>
        </w:rPr>
        <w:t>(</w:t>
      </w:r>
      <w:r w:rsidRPr="002A52A9">
        <w:rPr>
          <w:rStyle w:val="a3"/>
          <w:color w:val="auto"/>
          <w:sz w:val="24"/>
          <w:szCs w:val="24"/>
          <w:lang w:val="en-US" w:eastAsia="en-US"/>
        </w:rPr>
        <w:t>http</w:t>
      </w:r>
      <w:r w:rsidRPr="002A52A9">
        <w:rPr>
          <w:rStyle w:val="a3"/>
          <w:color w:val="auto"/>
          <w:sz w:val="24"/>
          <w:szCs w:val="24"/>
          <w:lang w:eastAsia="en-US"/>
        </w:rPr>
        <w:t>:/</w:t>
      </w:r>
      <w:r w:rsidRPr="002A52A9">
        <w:rPr>
          <w:rStyle w:val="a3"/>
          <w:color w:val="auto"/>
          <w:sz w:val="24"/>
          <w:szCs w:val="24"/>
          <w:lang w:val="en-US" w:eastAsia="en-US"/>
        </w:rPr>
        <w:t>www</w:t>
      </w:r>
      <w:r w:rsidRPr="002A52A9">
        <w:rPr>
          <w:rStyle w:val="a3"/>
          <w:color w:val="auto"/>
          <w:sz w:val="24"/>
          <w:szCs w:val="24"/>
          <w:lang w:eastAsia="en-US"/>
        </w:rPr>
        <w:t>.</w:t>
      </w:r>
      <w:proofErr w:type="spellStart"/>
      <w:r w:rsidRPr="002A52A9">
        <w:rPr>
          <w:rStyle w:val="a3"/>
          <w:color w:val="auto"/>
          <w:sz w:val="24"/>
          <w:szCs w:val="24"/>
          <w:lang w:val="en-US" w:eastAsia="en-US"/>
        </w:rPr>
        <w:t>amc</w:t>
      </w:r>
      <w:proofErr w:type="spellEnd"/>
      <w:r w:rsidRPr="002A52A9">
        <w:rPr>
          <w:rStyle w:val="a3"/>
          <w:color w:val="auto"/>
          <w:sz w:val="24"/>
          <w:szCs w:val="24"/>
          <w:lang w:eastAsia="en-US"/>
        </w:rPr>
        <w:t>.</w:t>
      </w:r>
      <w:proofErr w:type="spellStart"/>
      <w:r w:rsidRPr="002A52A9">
        <w:rPr>
          <w:rStyle w:val="a3"/>
          <w:color w:val="auto"/>
          <w:sz w:val="24"/>
          <w:szCs w:val="24"/>
          <w:lang w:val="en-US" w:eastAsia="en-US"/>
        </w:rPr>
        <w:t>gov</w:t>
      </w:r>
      <w:proofErr w:type="spellEnd"/>
      <w:r w:rsidRPr="002A52A9">
        <w:rPr>
          <w:rStyle w:val="a3"/>
          <w:color w:val="auto"/>
          <w:sz w:val="24"/>
          <w:szCs w:val="24"/>
          <w:lang w:eastAsia="en-US"/>
        </w:rPr>
        <w:t>.</w:t>
      </w:r>
      <w:proofErr w:type="spellStart"/>
      <w:r w:rsidRPr="002A52A9">
        <w:rPr>
          <w:rStyle w:val="a3"/>
          <w:color w:val="auto"/>
          <w:sz w:val="24"/>
          <w:szCs w:val="24"/>
          <w:lang w:val="en-US" w:eastAsia="en-US"/>
        </w:rPr>
        <w:t>ua</w:t>
      </w:r>
      <w:proofErr w:type="spellEnd"/>
      <w:r w:rsidRPr="002A52A9">
        <w:rPr>
          <w:rStyle w:val="a3"/>
          <w:color w:val="auto"/>
          <w:sz w:val="24"/>
          <w:szCs w:val="24"/>
          <w:lang w:eastAsia="en-US"/>
        </w:rPr>
        <w:t>).</w:t>
      </w:r>
    </w:p>
    <w:p w:rsidR="00EC5085" w:rsidRPr="002A52A9" w:rsidRDefault="00A067E1" w:rsidP="002A52A9">
      <w:pPr>
        <w:pStyle w:val="1"/>
        <w:spacing w:line="240" w:lineRule="auto"/>
        <w:ind w:firstLine="72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>Згідно даних з реєстру природних монополій у сфері транспортування теплово</w:t>
      </w:r>
      <w:r w:rsidRPr="002A52A9">
        <w:rPr>
          <w:rStyle w:val="a3"/>
          <w:color w:val="auto"/>
          <w:sz w:val="24"/>
          <w:szCs w:val="24"/>
        </w:rPr>
        <w:t>ї енергії магістральними та місцевими (розподільчими) тепловими мережами станом на 31.12.2023р. (на офіційному сайті АМКУ) КП «Теплоенергетик» Кропивницької міської ради», код ЄДРПОУ 24153576, є суб’єктом природних монополій на території Кіровоградської об</w:t>
      </w:r>
      <w:r w:rsidRPr="002A52A9">
        <w:rPr>
          <w:rStyle w:val="a3"/>
          <w:color w:val="auto"/>
          <w:sz w:val="24"/>
          <w:szCs w:val="24"/>
        </w:rPr>
        <w:t>ласті.</w:t>
      </w:r>
    </w:p>
    <w:p w:rsidR="00EC5085" w:rsidRPr="002A52A9" w:rsidRDefault="00A067E1" w:rsidP="002A52A9">
      <w:pPr>
        <w:pStyle w:val="1"/>
        <w:spacing w:line="240" w:lineRule="auto"/>
        <w:ind w:firstLine="72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 xml:space="preserve">Враховуючи те, що </w:t>
      </w:r>
      <w:r w:rsidR="00B928D0">
        <w:rPr>
          <w:rStyle w:val="a3"/>
          <w:color w:val="auto"/>
          <w:sz w:val="24"/>
          <w:szCs w:val="24"/>
        </w:rPr>
        <w:t>постачальником може бути</w:t>
      </w:r>
      <w:r w:rsidRPr="002A52A9">
        <w:rPr>
          <w:rStyle w:val="a3"/>
          <w:color w:val="auto"/>
          <w:sz w:val="24"/>
          <w:szCs w:val="24"/>
        </w:rPr>
        <w:t xml:space="preserve"> лише певний суб’єкт господарювання КП «Теплоенергетик» КМР»</w:t>
      </w:r>
      <w:r w:rsidRPr="002A52A9">
        <w:rPr>
          <w:rStyle w:val="a3"/>
          <w:color w:val="auto"/>
          <w:sz w:val="24"/>
          <w:szCs w:val="24"/>
        </w:rPr>
        <w:t xml:space="preserve">, що визначено відповідним документом — Зведений перелік суб’єктів природних монополій (розміщений на офіційному веб-сайті </w:t>
      </w:r>
      <w:r w:rsidRPr="002A52A9">
        <w:rPr>
          <w:rStyle w:val="a3"/>
          <w:color w:val="auto"/>
          <w:sz w:val="24"/>
          <w:szCs w:val="24"/>
          <w:lang w:eastAsia="ru-RU"/>
        </w:rPr>
        <w:t xml:space="preserve">Антимонопольного </w:t>
      </w:r>
      <w:r w:rsidRPr="002A52A9">
        <w:rPr>
          <w:rStyle w:val="a3"/>
          <w:color w:val="auto"/>
          <w:sz w:val="24"/>
          <w:szCs w:val="24"/>
        </w:rPr>
        <w:t>коміт</w:t>
      </w:r>
      <w:r w:rsidRPr="002A52A9">
        <w:rPr>
          <w:rStyle w:val="a3"/>
          <w:color w:val="auto"/>
          <w:sz w:val="24"/>
          <w:szCs w:val="24"/>
        </w:rPr>
        <w:t xml:space="preserve">ету України </w:t>
      </w:r>
      <w:hyperlink r:id="rId8" w:history="1">
        <w:r w:rsidRPr="002A52A9">
          <w:rPr>
            <w:rStyle w:val="a3"/>
            <w:color w:val="auto"/>
            <w:sz w:val="24"/>
            <w:szCs w:val="24"/>
            <w:lang w:val="en-US" w:eastAsia="en-US"/>
          </w:rPr>
          <w:t>https</w:t>
        </w:r>
        <w:r w:rsidRPr="002A52A9">
          <w:rPr>
            <w:rStyle w:val="a3"/>
            <w:color w:val="auto"/>
            <w:sz w:val="24"/>
            <w:szCs w:val="24"/>
            <w:lang w:eastAsia="en-US"/>
          </w:rPr>
          <w:t>://</w:t>
        </w:r>
        <w:proofErr w:type="spellStart"/>
        <w:r w:rsidRPr="002A52A9">
          <w:rPr>
            <w:rStyle w:val="a3"/>
            <w:color w:val="auto"/>
            <w:sz w:val="24"/>
            <w:szCs w:val="24"/>
            <w:lang w:val="en-US" w:eastAsia="en-US"/>
          </w:rPr>
          <w:t>amcu</w:t>
        </w:r>
        <w:proofErr w:type="spellEnd"/>
        <w:r w:rsidRPr="002A52A9">
          <w:rPr>
            <w:rStyle w:val="a3"/>
            <w:color w:val="auto"/>
            <w:sz w:val="24"/>
            <w:szCs w:val="24"/>
            <w:lang w:eastAsia="en-US"/>
          </w:rPr>
          <w:t>.</w:t>
        </w:r>
        <w:proofErr w:type="spellStart"/>
        <w:r w:rsidRPr="002A52A9">
          <w:rPr>
            <w:rStyle w:val="a3"/>
            <w:color w:val="auto"/>
            <w:sz w:val="24"/>
            <w:szCs w:val="24"/>
            <w:lang w:val="en-US" w:eastAsia="en-US"/>
          </w:rPr>
          <w:t>gov</w:t>
        </w:r>
        <w:proofErr w:type="spellEnd"/>
        <w:r w:rsidRPr="002A52A9">
          <w:rPr>
            <w:rStyle w:val="a3"/>
            <w:color w:val="auto"/>
            <w:sz w:val="24"/>
            <w:szCs w:val="24"/>
            <w:lang w:eastAsia="en-US"/>
          </w:rPr>
          <w:t>.</w:t>
        </w:r>
        <w:proofErr w:type="spellStart"/>
        <w:r w:rsidRPr="002A52A9">
          <w:rPr>
            <w:rStyle w:val="a3"/>
            <w:color w:val="auto"/>
            <w:sz w:val="24"/>
            <w:szCs w:val="24"/>
            <w:lang w:val="en-US" w:eastAsia="en-US"/>
          </w:rPr>
          <w:t>ua</w:t>
        </w:r>
        <w:proofErr w:type="spellEnd"/>
        <w:r w:rsidRPr="002A52A9">
          <w:rPr>
            <w:rStyle w:val="a3"/>
            <w:color w:val="auto"/>
            <w:sz w:val="24"/>
            <w:szCs w:val="24"/>
            <w:lang w:eastAsia="en-US"/>
          </w:rPr>
          <w:t>/</w:t>
        </w:r>
      </w:hyperlink>
      <w:r w:rsidRPr="002A52A9">
        <w:rPr>
          <w:rStyle w:val="a3"/>
          <w:color w:val="auto"/>
          <w:sz w:val="24"/>
          <w:szCs w:val="24"/>
          <w:lang w:eastAsia="en-US"/>
        </w:rPr>
        <w:t xml:space="preserve">), </w:t>
      </w:r>
      <w:r w:rsidRPr="002A52A9">
        <w:rPr>
          <w:rStyle w:val="a3"/>
          <w:color w:val="auto"/>
          <w:sz w:val="24"/>
          <w:szCs w:val="24"/>
        </w:rPr>
        <w:t>застосовується вищевказане виключення.</w:t>
      </w:r>
    </w:p>
    <w:p w:rsidR="00EC5085" w:rsidRPr="002A52A9" w:rsidRDefault="00A067E1" w:rsidP="002A52A9">
      <w:pPr>
        <w:pStyle w:val="1"/>
        <w:spacing w:line="240" w:lineRule="auto"/>
        <w:ind w:firstLine="72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>Водночас, як передбачено чинним законодавством, під час здійснення закупів</w:t>
      </w:r>
      <w:r w:rsidR="00B928D0">
        <w:rPr>
          <w:rStyle w:val="a3"/>
          <w:color w:val="auto"/>
          <w:sz w:val="24"/>
          <w:szCs w:val="24"/>
        </w:rPr>
        <w:t>лі</w:t>
      </w:r>
      <w:r w:rsidRPr="002A52A9">
        <w:rPr>
          <w:rStyle w:val="a3"/>
          <w:color w:val="auto"/>
          <w:sz w:val="24"/>
          <w:szCs w:val="24"/>
        </w:rPr>
        <w:t xml:space="preserve"> замовники повинні дотримуватися принципів здійснення публічних </w:t>
      </w:r>
      <w:proofErr w:type="spellStart"/>
      <w:r w:rsidRPr="002A52A9">
        <w:rPr>
          <w:rStyle w:val="a3"/>
          <w:color w:val="auto"/>
          <w:sz w:val="24"/>
          <w:szCs w:val="24"/>
        </w:rPr>
        <w:t>закупі</w:t>
      </w:r>
      <w:r w:rsidRPr="002A52A9">
        <w:rPr>
          <w:rStyle w:val="a3"/>
          <w:color w:val="auto"/>
          <w:sz w:val="24"/>
          <w:szCs w:val="24"/>
        </w:rPr>
        <w:t>вель</w:t>
      </w:r>
      <w:proofErr w:type="spellEnd"/>
      <w:r w:rsidRPr="002A52A9">
        <w:rPr>
          <w:rStyle w:val="a3"/>
          <w:color w:val="auto"/>
          <w:sz w:val="24"/>
          <w:szCs w:val="24"/>
        </w:rPr>
        <w:t>.</w:t>
      </w:r>
    </w:p>
    <w:p w:rsidR="00EC5085" w:rsidRPr="002A52A9" w:rsidRDefault="00A067E1" w:rsidP="002A52A9">
      <w:pPr>
        <w:pStyle w:val="1"/>
        <w:spacing w:line="240" w:lineRule="auto"/>
        <w:ind w:firstLine="72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>Таким чи</w:t>
      </w:r>
      <w:bookmarkStart w:id="1" w:name="_GoBack"/>
      <w:bookmarkEnd w:id="1"/>
      <w:r w:rsidRPr="002A52A9">
        <w:rPr>
          <w:rStyle w:val="a3"/>
          <w:color w:val="auto"/>
          <w:sz w:val="24"/>
          <w:szCs w:val="24"/>
        </w:rPr>
        <w:t>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Закупівлі без застосування відкритих торгів т</w:t>
      </w:r>
      <w:r w:rsidRPr="002A52A9">
        <w:rPr>
          <w:rStyle w:val="a3"/>
          <w:color w:val="auto"/>
          <w:sz w:val="24"/>
          <w:szCs w:val="24"/>
        </w:rPr>
        <w:t xml:space="preserve">а/або електронного каталогу для закупівлі товару та застосування під час здійснення Закупівлі, як виняток, підстави за підпунктом 5 пункту 13 Особливостей: придбання </w:t>
      </w:r>
      <w:r w:rsidRPr="002A52A9">
        <w:rPr>
          <w:rStyle w:val="a3"/>
          <w:color w:val="auto"/>
          <w:sz w:val="24"/>
          <w:szCs w:val="24"/>
        </w:rPr>
        <w:lastRenderedPageBreak/>
        <w:t>замовниками товарів і послуг (крім послуг з поточного ремонту), вартість яких становить аб</w:t>
      </w:r>
      <w:r w:rsidRPr="002A52A9">
        <w:rPr>
          <w:rStyle w:val="a3"/>
          <w:color w:val="auto"/>
          <w:sz w:val="24"/>
          <w:szCs w:val="24"/>
        </w:rPr>
        <w:t>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</w:t>
      </w:r>
      <w:r w:rsidRPr="002A52A9">
        <w:rPr>
          <w:rStyle w:val="a3"/>
          <w:color w:val="auto"/>
          <w:sz w:val="24"/>
          <w:szCs w:val="24"/>
        </w:rPr>
        <w:t xml:space="preserve">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 </w:t>
      </w:r>
      <w:r w:rsidRPr="002A52A9">
        <w:rPr>
          <w:rStyle w:val="a3"/>
          <w:color w:val="auto"/>
          <w:sz w:val="24"/>
          <w:szCs w:val="24"/>
        </w:rPr>
        <w:t>і укладення договору.</w:t>
      </w:r>
    </w:p>
    <w:p w:rsidR="00EC5085" w:rsidRPr="002A52A9" w:rsidRDefault="00A067E1" w:rsidP="002A52A9">
      <w:pPr>
        <w:pStyle w:val="1"/>
        <w:spacing w:line="240" w:lineRule="auto"/>
        <w:ind w:firstLine="72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>З огляду на викладене, рішення щодо проведення закупівлі відповідає чинному законодавству.</w:t>
      </w:r>
    </w:p>
    <w:p w:rsidR="00EC5085" w:rsidRPr="002A52A9" w:rsidRDefault="00A067E1" w:rsidP="002A52A9">
      <w:pPr>
        <w:pStyle w:val="1"/>
        <w:spacing w:line="240" w:lineRule="auto"/>
        <w:ind w:firstLine="46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2A52A9">
        <w:rPr>
          <w:rStyle w:val="a3"/>
          <w:color w:val="auto"/>
          <w:sz w:val="24"/>
          <w:szCs w:val="24"/>
        </w:rPr>
        <w:t>закупівель</w:t>
      </w:r>
      <w:proofErr w:type="spellEnd"/>
      <w:r w:rsidRPr="002A52A9">
        <w:rPr>
          <w:rStyle w:val="a3"/>
          <w:color w:val="auto"/>
          <w:sz w:val="24"/>
          <w:szCs w:val="24"/>
        </w:rPr>
        <w:t xml:space="preserve"> звіт про договір про </w:t>
      </w:r>
      <w:r w:rsidRPr="002A52A9">
        <w:rPr>
          <w:rStyle w:val="a3"/>
          <w:color w:val="auto"/>
          <w:sz w:val="24"/>
          <w:szCs w:val="24"/>
        </w:rPr>
        <w:t xml:space="preserve">закупівлю, укладений без використання електронної системи </w:t>
      </w:r>
      <w:proofErr w:type="spellStart"/>
      <w:r w:rsidRPr="002A52A9">
        <w:rPr>
          <w:rStyle w:val="a3"/>
          <w:color w:val="auto"/>
          <w:sz w:val="24"/>
          <w:szCs w:val="24"/>
        </w:rPr>
        <w:t>закупівель</w:t>
      </w:r>
      <w:proofErr w:type="spellEnd"/>
      <w:r w:rsidRPr="002A52A9">
        <w:rPr>
          <w:rStyle w:val="a3"/>
          <w:color w:val="auto"/>
          <w:sz w:val="24"/>
          <w:szCs w:val="24"/>
        </w:rPr>
        <w:t>, відповідно до пункту 38 розділу X «Прикінцеві та перехідні положення» Закону.</w:t>
      </w:r>
    </w:p>
    <w:p w:rsidR="00EC5085" w:rsidRPr="002A52A9" w:rsidRDefault="00A067E1" w:rsidP="002A52A9">
      <w:pPr>
        <w:pStyle w:val="1"/>
        <w:spacing w:line="240" w:lineRule="auto"/>
        <w:ind w:firstLine="72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 xml:space="preserve">Разом із звітом про договір про закупівлю, укладений без використання електронної системи </w:t>
      </w:r>
      <w:proofErr w:type="spellStart"/>
      <w:r w:rsidRPr="002A52A9">
        <w:rPr>
          <w:rStyle w:val="a3"/>
          <w:color w:val="auto"/>
          <w:sz w:val="24"/>
          <w:szCs w:val="24"/>
        </w:rPr>
        <w:t>закупівель</w:t>
      </w:r>
      <w:proofErr w:type="spellEnd"/>
      <w:r w:rsidRPr="002A52A9">
        <w:rPr>
          <w:rStyle w:val="a3"/>
          <w:color w:val="auto"/>
          <w:sz w:val="24"/>
          <w:szCs w:val="24"/>
        </w:rPr>
        <w:t>, замовн</w:t>
      </w:r>
      <w:r w:rsidRPr="002A52A9">
        <w:rPr>
          <w:rStyle w:val="a3"/>
          <w:color w:val="auto"/>
          <w:sz w:val="24"/>
          <w:szCs w:val="24"/>
        </w:rPr>
        <w:t xml:space="preserve">ик оприлюднює в електронній системі </w:t>
      </w:r>
      <w:proofErr w:type="spellStart"/>
      <w:r w:rsidRPr="002A52A9">
        <w:rPr>
          <w:rStyle w:val="a3"/>
          <w:color w:val="auto"/>
          <w:sz w:val="24"/>
          <w:szCs w:val="24"/>
        </w:rPr>
        <w:t>закупівель</w:t>
      </w:r>
      <w:proofErr w:type="spellEnd"/>
      <w:r w:rsidRPr="002A52A9">
        <w:rPr>
          <w:rStyle w:val="a3"/>
          <w:color w:val="auto"/>
          <w:sz w:val="24"/>
          <w:szCs w:val="24"/>
        </w:rPr>
        <w:t xml:space="preserve"> договір про закупівлю та додатки до нього, а також обґрунтування підстави для здійснення замовником закупівлі відповідно до </w:t>
      </w:r>
      <w:proofErr w:type="spellStart"/>
      <w:r w:rsidR="00B928D0">
        <w:rPr>
          <w:rStyle w:val="a3"/>
          <w:color w:val="auto"/>
          <w:sz w:val="24"/>
          <w:szCs w:val="24"/>
        </w:rPr>
        <w:t>п.п</w:t>
      </w:r>
      <w:proofErr w:type="spellEnd"/>
      <w:r w:rsidR="00B928D0">
        <w:rPr>
          <w:rStyle w:val="a3"/>
          <w:color w:val="auto"/>
          <w:sz w:val="24"/>
          <w:szCs w:val="24"/>
        </w:rPr>
        <w:t>. 5 п.</w:t>
      </w:r>
      <w:r w:rsidRPr="002A52A9">
        <w:rPr>
          <w:rStyle w:val="a3"/>
          <w:b/>
          <w:bCs/>
          <w:color w:val="auto"/>
          <w:sz w:val="24"/>
          <w:szCs w:val="24"/>
        </w:rPr>
        <w:t xml:space="preserve"> </w:t>
      </w:r>
      <w:r w:rsidRPr="00B928D0">
        <w:rPr>
          <w:rStyle w:val="a3"/>
          <w:bCs/>
          <w:color w:val="auto"/>
          <w:sz w:val="24"/>
          <w:szCs w:val="24"/>
        </w:rPr>
        <w:t>13 Особливостей.</w:t>
      </w:r>
      <w:r w:rsidR="00B928D0">
        <w:rPr>
          <w:color w:val="auto"/>
          <w:sz w:val="24"/>
          <w:szCs w:val="24"/>
        </w:rPr>
        <w:t xml:space="preserve"> </w:t>
      </w:r>
    </w:p>
    <w:p w:rsidR="00B928D0" w:rsidRDefault="00B928D0" w:rsidP="002A52A9">
      <w:pPr>
        <w:pStyle w:val="11"/>
        <w:keepNext/>
        <w:keepLines/>
        <w:spacing w:line="240" w:lineRule="auto"/>
        <w:jc w:val="both"/>
        <w:rPr>
          <w:rStyle w:val="10"/>
          <w:b/>
          <w:bCs/>
          <w:color w:val="auto"/>
          <w:sz w:val="24"/>
          <w:szCs w:val="24"/>
        </w:rPr>
      </w:pPr>
      <w:bookmarkStart w:id="2" w:name="bookmark2"/>
    </w:p>
    <w:p w:rsidR="00EC5085" w:rsidRPr="002A52A9" w:rsidRDefault="00A067E1" w:rsidP="002A52A9">
      <w:pPr>
        <w:pStyle w:val="11"/>
        <w:keepNext/>
        <w:keepLines/>
        <w:spacing w:line="240" w:lineRule="auto"/>
        <w:jc w:val="both"/>
        <w:rPr>
          <w:color w:val="auto"/>
          <w:sz w:val="24"/>
          <w:szCs w:val="24"/>
        </w:rPr>
      </w:pPr>
      <w:r w:rsidRPr="002A52A9">
        <w:rPr>
          <w:rStyle w:val="10"/>
          <w:b/>
          <w:bCs/>
          <w:color w:val="auto"/>
          <w:sz w:val="24"/>
          <w:szCs w:val="24"/>
        </w:rPr>
        <w:t>Перелік документів, якими підтверджується наявність підстави</w:t>
      </w:r>
      <w:r w:rsidRPr="002A52A9">
        <w:rPr>
          <w:rStyle w:val="10"/>
          <w:b/>
          <w:bCs/>
          <w:color w:val="auto"/>
          <w:sz w:val="24"/>
          <w:szCs w:val="24"/>
        </w:rPr>
        <w:t xml:space="preserve"> для застосування виключення за Особливостями:</w:t>
      </w:r>
      <w:bookmarkEnd w:id="2"/>
    </w:p>
    <w:p w:rsidR="00EC5085" w:rsidRPr="002A52A9" w:rsidRDefault="00A067E1" w:rsidP="002A52A9">
      <w:pPr>
        <w:pStyle w:val="1"/>
        <w:numPr>
          <w:ilvl w:val="0"/>
          <w:numId w:val="1"/>
        </w:numPr>
        <w:tabs>
          <w:tab w:val="left" w:pos="671"/>
        </w:tabs>
        <w:spacing w:line="240" w:lineRule="auto"/>
        <w:ind w:firstLine="34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>Зведений перелік суб’єктів природних монополій станом на 31.12.2023 року.</w:t>
      </w:r>
    </w:p>
    <w:p w:rsidR="00EC5085" w:rsidRPr="002A52A9" w:rsidRDefault="00A067E1" w:rsidP="002A52A9">
      <w:pPr>
        <w:pStyle w:val="1"/>
        <w:numPr>
          <w:ilvl w:val="0"/>
          <w:numId w:val="1"/>
        </w:numPr>
        <w:tabs>
          <w:tab w:val="left" w:pos="691"/>
        </w:tabs>
        <w:spacing w:line="240" w:lineRule="auto"/>
        <w:ind w:left="680" w:hanging="32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 xml:space="preserve">Рішення виконавчого комітету Кропивницької міської ради № 898 від 24.10.2023 року «Про встановлення КП «Теплоенергетик» КМР» </w:t>
      </w:r>
      <w:proofErr w:type="spellStart"/>
      <w:r w:rsidRPr="002A52A9">
        <w:rPr>
          <w:rStyle w:val="a3"/>
          <w:color w:val="auto"/>
          <w:sz w:val="24"/>
          <w:szCs w:val="24"/>
        </w:rPr>
        <w:t>одноставко</w:t>
      </w:r>
      <w:r w:rsidRPr="002A52A9">
        <w:rPr>
          <w:rStyle w:val="a3"/>
          <w:color w:val="auto"/>
          <w:sz w:val="24"/>
          <w:szCs w:val="24"/>
        </w:rPr>
        <w:t>вих</w:t>
      </w:r>
      <w:proofErr w:type="spellEnd"/>
      <w:r w:rsidRPr="002A52A9">
        <w:rPr>
          <w:rStyle w:val="a3"/>
          <w:color w:val="auto"/>
          <w:sz w:val="24"/>
          <w:szCs w:val="24"/>
        </w:rPr>
        <w:t xml:space="preserve"> тарифів на послуги з постачання теплової енергії».</w:t>
      </w:r>
    </w:p>
    <w:p w:rsidR="00EC5085" w:rsidRPr="002A52A9" w:rsidRDefault="00A067E1" w:rsidP="002A52A9">
      <w:pPr>
        <w:pStyle w:val="1"/>
        <w:numPr>
          <w:ilvl w:val="0"/>
          <w:numId w:val="1"/>
        </w:numPr>
        <w:tabs>
          <w:tab w:val="left" w:pos="691"/>
        </w:tabs>
        <w:spacing w:line="240" w:lineRule="auto"/>
        <w:ind w:left="680" w:hanging="320"/>
        <w:jc w:val="both"/>
        <w:rPr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>Постанови НКРЕКП № 208 від 21.02.2017</w:t>
      </w:r>
      <w:r w:rsidR="00B928D0">
        <w:rPr>
          <w:rStyle w:val="a3"/>
          <w:color w:val="auto"/>
          <w:sz w:val="24"/>
          <w:szCs w:val="24"/>
        </w:rPr>
        <w:t xml:space="preserve"> </w:t>
      </w:r>
      <w:r w:rsidRPr="002A52A9">
        <w:rPr>
          <w:rStyle w:val="a3"/>
          <w:color w:val="auto"/>
          <w:sz w:val="24"/>
          <w:szCs w:val="24"/>
        </w:rPr>
        <w:t xml:space="preserve">р. «Про переоформлення ліцензій з виробництва електричної енергії та з виробництва теплової енергії на теплоелектроцентралях, </w:t>
      </w:r>
      <w:proofErr w:type="spellStart"/>
      <w:r w:rsidRPr="002A52A9">
        <w:rPr>
          <w:rStyle w:val="a3"/>
          <w:color w:val="auto"/>
          <w:sz w:val="24"/>
          <w:szCs w:val="24"/>
        </w:rPr>
        <w:t>когенераційних</w:t>
      </w:r>
      <w:proofErr w:type="spellEnd"/>
      <w:r w:rsidRPr="002A52A9">
        <w:rPr>
          <w:rStyle w:val="a3"/>
          <w:color w:val="auto"/>
          <w:sz w:val="24"/>
          <w:szCs w:val="24"/>
        </w:rPr>
        <w:t xml:space="preserve"> установках та установка</w:t>
      </w:r>
      <w:r w:rsidRPr="002A52A9">
        <w:rPr>
          <w:rStyle w:val="a3"/>
          <w:color w:val="auto"/>
          <w:sz w:val="24"/>
          <w:szCs w:val="24"/>
        </w:rPr>
        <w:t>х з використанням нетрадиційних або поновлюваних джерел енергії, виданих КП «Теплоенергетик».</w:t>
      </w:r>
    </w:p>
    <w:p w:rsidR="00EC5085" w:rsidRDefault="00A067E1" w:rsidP="002A52A9">
      <w:pPr>
        <w:pStyle w:val="1"/>
        <w:numPr>
          <w:ilvl w:val="0"/>
          <w:numId w:val="1"/>
        </w:numPr>
        <w:tabs>
          <w:tab w:val="left" w:pos="691"/>
        </w:tabs>
        <w:spacing w:line="240" w:lineRule="auto"/>
        <w:ind w:left="680" w:hanging="320"/>
        <w:jc w:val="both"/>
        <w:rPr>
          <w:rStyle w:val="a3"/>
          <w:color w:val="auto"/>
          <w:sz w:val="24"/>
          <w:szCs w:val="24"/>
        </w:rPr>
      </w:pPr>
      <w:r w:rsidRPr="002A52A9">
        <w:rPr>
          <w:rStyle w:val="a3"/>
          <w:color w:val="auto"/>
          <w:sz w:val="24"/>
          <w:szCs w:val="24"/>
        </w:rPr>
        <w:t>Постанова НКРЕКП № 207 від 21.02.2017 «</w:t>
      </w:r>
      <w:r w:rsidRPr="002A52A9">
        <w:rPr>
          <w:rStyle w:val="a3"/>
          <w:color w:val="auto"/>
          <w:sz w:val="24"/>
          <w:szCs w:val="24"/>
        </w:rPr>
        <w:t xml:space="preserve">Про переоформлення ліцензій на виробництво теплової енергії (крім діяльності з виробництва теплової енергії на </w:t>
      </w:r>
      <w:r w:rsidRPr="002A52A9">
        <w:rPr>
          <w:rStyle w:val="a3"/>
          <w:color w:val="auto"/>
          <w:sz w:val="24"/>
          <w:szCs w:val="24"/>
        </w:rPr>
        <w:t xml:space="preserve">теплоелектроцентралях, теплоелектростанціях, атомних електростанціях і </w:t>
      </w:r>
      <w:proofErr w:type="spellStart"/>
      <w:r w:rsidRPr="002A52A9">
        <w:rPr>
          <w:rStyle w:val="a3"/>
          <w:color w:val="auto"/>
          <w:sz w:val="24"/>
          <w:szCs w:val="24"/>
        </w:rPr>
        <w:t>когенераційних</w:t>
      </w:r>
      <w:proofErr w:type="spellEnd"/>
      <w:r w:rsidRPr="002A52A9">
        <w:rPr>
          <w:rStyle w:val="a3"/>
          <w:color w:val="auto"/>
          <w:sz w:val="24"/>
          <w:szCs w:val="24"/>
        </w:rPr>
        <w:t xml:space="preserve"> установках та установках з використанням нетрадиційних або поновлюваних джерел енергії'), транспортування теплової енергії магістральними та місцевими (розподільчими) теп</w:t>
      </w:r>
      <w:r w:rsidRPr="002A52A9">
        <w:rPr>
          <w:rStyle w:val="a3"/>
          <w:color w:val="auto"/>
          <w:sz w:val="24"/>
          <w:szCs w:val="24"/>
        </w:rPr>
        <w:t>ловими мережами та постачання теплової енергії, виданих КП "ТЕПЛОЕНЕРГЕТИК</w:t>
      </w:r>
      <w:r w:rsidR="00B928D0" w:rsidRPr="002A52A9">
        <w:rPr>
          <w:rStyle w:val="a3"/>
          <w:color w:val="auto"/>
          <w:sz w:val="24"/>
          <w:szCs w:val="24"/>
        </w:rPr>
        <w:t>"</w:t>
      </w:r>
      <w:r w:rsidR="00B928D0">
        <w:rPr>
          <w:rStyle w:val="a3"/>
          <w:color w:val="auto"/>
          <w:sz w:val="24"/>
          <w:szCs w:val="24"/>
        </w:rPr>
        <w:t xml:space="preserve"> КМР</w:t>
      </w:r>
      <w:r w:rsidRPr="002A52A9">
        <w:rPr>
          <w:rStyle w:val="a3"/>
          <w:color w:val="auto"/>
          <w:sz w:val="24"/>
          <w:szCs w:val="24"/>
        </w:rPr>
        <w:t>».</w:t>
      </w:r>
    </w:p>
    <w:p w:rsidR="00B928D0" w:rsidRDefault="00B928D0" w:rsidP="00B928D0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color w:val="auto"/>
          <w:sz w:val="24"/>
          <w:szCs w:val="24"/>
        </w:rPr>
      </w:pPr>
    </w:p>
    <w:p w:rsidR="00B928D0" w:rsidRDefault="00B928D0" w:rsidP="00B928D0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color w:val="auto"/>
          <w:sz w:val="24"/>
          <w:szCs w:val="24"/>
        </w:rPr>
      </w:pPr>
    </w:p>
    <w:p w:rsidR="00B928D0" w:rsidRDefault="00B928D0" w:rsidP="00B928D0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color w:val="auto"/>
          <w:sz w:val="24"/>
          <w:szCs w:val="24"/>
        </w:rPr>
      </w:pPr>
    </w:p>
    <w:p w:rsidR="00B928D0" w:rsidRPr="00B928D0" w:rsidRDefault="00B928D0" w:rsidP="00B928D0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b/>
          <w:color w:val="auto"/>
          <w:sz w:val="24"/>
          <w:szCs w:val="24"/>
        </w:rPr>
      </w:pPr>
      <w:r w:rsidRPr="00B928D0">
        <w:rPr>
          <w:rStyle w:val="a3"/>
          <w:b/>
          <w:color w:val="auto"/>
          <w:sz w:val="24"/>
          <w:szCs w:val="24"/>
        </w:rPr>
        <w:t xml:space="preserve">Уповноважена з публічних </w:t>
      </w:r>
      <w:proofErr w:type="spellStart"/>
      <w:r w:rsidRPr="00B928D0">
        <w:rPr>
          <w:rStyle w:val="a3"/>
          <w:b/>
          <w:color w:val="auto"/>
          <w:sz w:val="24"/>
          <w:szCs w:val="24"/>
        </w:rPr>
        <w:t>закупівель</w:t>
      </w:r>
      <w:proofErr w:type="spellEnd"/>
      <w:r w:rsidRPr="00B928D0">
        <w:rPr>
          <w:rStyle w:val="a3"/>
          <w:b/>
          <w:color w:val="auto"/>
          <w:sz w:val="24"/>
          <w:szCs w:val="24"/>
        </w:rPr>
        <w:t xml:space="preserve"> </w:t>
      </w:r>
    </w:p>
    <w:p w:rsidR="00B928D0" w:rsidRPr="00B928D0" w:rsidRDefault="00B928D0" w:rsidP="00B928D0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b/>
          <w:color w:val="auto"/>
          <w:sz w:val="24"/>
          <w:szCs w:val="24"/>
        </w:rPr>
      </w:pPr>
      <w:r w:rsidRPr="00B928D0">
        <w:rPr>
          <w:rStyle w:val="a3"/>
          <w:b/>
          <w:color w:val="auto"/>
          <w:sz w:val="24"/>
          <w:szCs w:val="24"/>
        </w:rPr>
        <w:t>«Кропивницького профе</w:t>
      </w:r>
      <w:r>
        <w:rPr>
          <w:rStyle w:val="a3"/>
          <w:b/>
          <w:color w:val="auto"/>
          <w:sz w:val="24"/>
          <w:szCs w:val="24"/>
        </w:rPr>
        <w:t>с</w:t>
      </w:r>
      <w:r w:rsidRPr="00B928D0">
        <w:rPr>
          <w:rStyle w:val="a3"/>
          <w:b/>
          <w:color w:val="auto"/>
          <w:sz w:val="24"/>
          <w:szCs w:val="24"/>
        </w:rPr>
        <w:t xml:space="preserve">ійного ліцею» </w:t>
      </w:r>
    </w:p>
    <w:p w:rsidR="00B928D0" w:rsidRPr="00B928D0" w:rsidRDefault="00B928D0" w:rsidP="00B928D0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b/>
          <w:color w:val="auto"/>
          <w:sz w:val="24"/>
          <w:szCs w:val="24"/>
        </w:rPr>
      </w:pPr>
      <w:r w:rsidRPr="00B928D0">
        <w:rPr>
          <w:rStyle w:val="a3"/>
          <w:b/>
          <w:color w:val="auto"/>
          <w:sz w:val="24"/>
          <w:szCs w:val="24"/>
        </w:rPr>
        <w:t>Кіровоградської обласної ради</w:t>
      </w:r>
      <w:r w:rsidRPr="00B928D0">
        <w:rPr>
          <w:rStyle w:val="a3"/>
          <w:b/>
          <w:color w:val="auto"/>
          <w:sz w:val="24"/>
          <w:szCs w:val="24"/>
        </w:rPr>
        <w:tab/>
      </w:r>
      <w:r w:rsidRPr="00B928D0">
        <w:rPr>
          <w:rStyle w:val="a3"/>
          <w:b/>
          <w:color w:val="auto"/>
          <w:sz w:val="24"/>
          <w:szCs w:val="24"/>
        </w:rPr>
        <w:tab/>
      </w:r>
      <w:r w:rsidRPr="00B928D0">
        <w:rPr>
          <w:rStyle w:val="a3"/>
          <w:b/>
          <w:color w:val="auto"/>
          <w:sz w:val="24"/>
          <w:szCs w:val="24"/>
        </w:rPr>
        <w:tab/>
      </w:r>
      <w:r w:rsidRPr="00B928D0">
        <w:rPr>
          <w:rStyle w:val="a3"/>
          <w:b/>
          <w:color w:val="auto"/>
          <w:sz w:val="24"/>
          <w:szCs w:val="24"/>
        </w:rPr>
        <w:tab/>
        <w:t>Наталія ІГУМЕНЦОВА</w:t>
      </w:r>
    </w:p>
    <w:sectPr w:rsidR="00B928D0" w:rsidRPr="00B928D0" w:rsidSect="00B928D0">
      <w:pgSz w:w="11900" w:h="16840"/>
      <w:pgMar w:top="548" w:right="538" w:bottom="426" w:left="1734" w:header="1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E1" w:rsidRDefault="00A067E1">
      <w:r>
        <w:separator/>
      </w:r>
    </w:p>
  </w:endnote>
  <w:endnote w:type="continuationSeparator" w:id="0">
    <w:p w:rsidR="00A067E1" w:rsidRDefault="00A0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E1" w:rsidRDefault="00A067E1"/>
  </w:footnote>
  <w:footnote w:type="continuationSeparator" w:id="0">
    <w:p w:rsidR="00A067E1" w:rsidRDefault="00A067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6F7"/>
    <w:multiLevelType w:val="multilevel"/>
    <w:tmpl w:val="C1C43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C5085"/>
    <w:rsid w:val="002A52A9"/>
    <w:rsid w:val="0047123E"/>
    <w:rsid w:val="008110C7"/>
    <w:rsid w:val="00A067E1"/>
    <w:rsid w:val="00A86F11"/>
    <w:rsid w:val="00A947FB"/>
    <w:rsid w:val="00B928D0"/>
    <w:rsid w:val="00E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line="264" w:lineRule="auto"/>
      <w:ind w:firstLine="70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line="264" w:lineRule="auto"/>
      <w:ind w:firstLine="70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cu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6973</Words>
  <Characters>3976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4</cp:revision>
  <cp:lastPrinted>2024-02-22T16:25:00Z</cp:lastPrinted>
  <dcterms:created xsi:type="dcterms:W3CDTF">2024-02-22T16:19:00Z</dcterms:created>
  <dcterms:modified xsi:type="dcterms:W3CDTF">2024-02-22T16:26:00Z</dcterms:modified>
</cp:coreProperties>
</file>