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Додаток № 1.3</w:t>
      </w:r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cs="Times New Roman" w:ascii="Times New Roman" w:hAnsi="Times New Roman"/>
          <w:color w:val="000000"/>
          <w:sz w:val="23"/>
          <w:szCs w:val="23"/>
          <w:lang w:eastAsia="ru-RU" w:bidi="ar-SA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40"/>
        <w:outlineLvl w:val="5"/>
        <w:rPr>
          <w:sz w:val="20"/>
          <w:szCs w:val="20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>ДК 021:2015 код 64210000-1 – Послуги телефонного зв’язку та передачі даних  (</w:t>
      </w:r>
      <w:r>
        <w:rPr>
          <w:rFonts w:cs="Times New Roman" w:ascii="Times New Roman" w:hAnsi="Times New Roman"/>
          <w:b/>
          <w:bCs/>
          <w:sz w:val="22"/>
          <w:szCs w:val="22"/>
        </w:rPr>
        <w:t>Послуги телефонного зв’язку  та передачі даних на 2023 рік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>)</w:t>
      </w:r>
      <w:r>
        <w:rPr>
          <w:rFonts w:cs="Times New Roman" w:ascii="Times New Roman" w:hAnsi="Times New Roman"/>
          <w:b/>
          <w:color w:val="auto"/>
          <w:sz w:val="22"/>
          <w:szCs w:val="22"/>
          <w:lang w:eastAsia="ru-RU"/>
        </w:rPr>
        <w:t>,</w:t>
      </w:r>
      <w:r>
        <w:rPr>
          <w:rFonts w:cs="Times New Roman" w:ascii="Times New Roman" w:hAnsi="Times New Roman"/>
          <w:color w:val="auto"/>
          <w:sz w:val="22"/>
          <w:szCs w:val="22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згідно з технічними та іншими вимогами Замовника.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8"/>
        <w:gridCol w:w="4027"/>
        <w:gridCol w:w="900"/>
        <w:gridCol w:w="1200"/>
        <w:gridCol w:w="1131"/>
        <w:gridCol w:w="1892"/>
      </w:tblGrid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0"/>
                <w:szCs w:val="20"/>
              </w:rPr>
              <w:t>з/п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Ціна, 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з  ПДВ (грн)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Загальна вартість,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з ПДВ (грн.)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Лот  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auto"/>
                <w:spacing w:val="1"/>
                <w:sz w:val="20"/>
                <w:szCs w:val="20"/>
                <w:u w:val="single"/>
              </w:rPr>
              <w:t>Лот 1: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бульвар Шевченка, 81;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бульвар Шевченка, 79;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вул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иця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Університетська, 22;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вул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иця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Хрещатик, 5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вул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иця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Крилова, 51;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вулиця Хрещатик, 51;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вулиця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Хрещатик, 64;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вулиця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Хрещатик, 62;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вулиця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Максима Залізняка, 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bookmarkStart w:id="0" w:name="__DdeLink__151_3388256071"/>
            <w:r>
              <w:rPr>
                <w:rFonts w:cs="Times New Roman" w:ascii="Times New Roman" w:hAnsi="Times New Roman"/>
                <w:sz w:val="20"/>
                <w:szCs w:val="20"/>
              </w:rPr>
              <w:t>посл</w:t>
            </w:r>
            <w:bookmarkEnd w:id="0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highlight w:val="yellow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21212"/>
                <w:sz w:val="20"/>
                <w:szCs w:val="20"/>
              </w:rPr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Лот 2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color w:val="auto"/>
                <w:spacing w:val="1"/>
                <w:sz w:val="20"/>
                <w:szCs w:val="20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pacing w:val="1"/>
                <w:sz w:val="20"/>
                <w:szCs w:val="20"/>
                <w:u w:val="single"/>
                <w:lang w:val="uk-UA"/>
              </w:rPr>
              <w:t>Лот 2: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>освітньо-інноваційний центр  - бульвар Шевченка, 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highlight w:val="yellow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21212"/>
                <w:sz w:val="20"/>
                <w:szCs w:val="20"/>
              </w:rPr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Лот 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color w:val="auto"/>
                <w:spacing w:val="1"/>
                <w:sz w:val="20"/>
                <w:szCs w:val="20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pacing w:val="1"/>
                <w:sz w:val="20"/>
                <w:szCs w:val="20"/>
                <w:u w:val="single"/>
                <w:lang w:val="uk-UA"/>
              </w:rPr>
              <w:t>Лот 3:</w:t>
            </w:r>
          </w:p>
          <w:p>
            <w:pPr>
              <w:pStyle w:val="LOnormal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початкова адреса: бульвар Шевчен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ка, 81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/>
              </w:rPr>
              <w:t xml:space="preserve">; </w:t>
            </w:r>
          </w:p>
          <w:p>
            <w:pPr>
              <w:pStyle w:val="LO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/>
              </w:rPr>
              <w:t>кінцева адреса: вул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ru-RU"/>
              </w:rPr>
              <w:t>иця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/>
              </w:rPr>
              <w:t xml:space="preserve"> Університетська, 22;</w:t>
            </w:r>
          </w:p>
          <w:p>
            <w:pPr>
              <w:pStyle w:val="LOnormal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початкова адреса: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вулиця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u w:val="none"/>
                <w:lang w:eastAsia="ar-SA" w:bidi="ar-SA"/>
              </w:rPr>
              <w:t xml:space="preserve"> Хрещатик, 66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/>
              </w:rPr>
              <w:t xml:space="preserve">; </w:t>
            </w:r>
          </w:p>
          <w:p>
            <w:pPr>
              <w:pStyle w:val="LO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/>
              </w:rPr>
              <w:t>кінцева адреса: вул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ru-RU"/>
              </w:rPr>
              <w:t>иця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/>
              </w:rPr>
              <w:t xml:space="preserve"> Університетська, 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highlight w:val="yellow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21212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jc w:val="both"/>
        <w:textAlignment w:val="baseline"/>
        <w:rPr/>
      </w:pPr>
      <w:r>
        <w:rPr>
          <w:rFonts w:ascii="Times New Roman" w:hAnsi="Times New Roman"/>
          <w:sz w:val="22"/>
          <w:szCs w:val="22"/>
        </w:rPr>
        <w:t>9.Строк надання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послуг: по 31 грудня 2023 року включно.</w:t>
      </w:r>
    </w:p>
    <w:p>
      <w:pPr>
        <w:pStyle w:val="Normal"/>
        <w:spacing w:lineRule="auto" w:line="240"/>
        <w:jc w:val="both"/>
        <w:textAlignment w:val="baseline"/>
        <w:rPr/>
      </w:pPr>
      <w:r>
        <w:rPr>
          <w:rFonts w:ascii="Times New Roman" w:hAnsi="Times New Roman"/>
          <w:sz w:val="22"/>
          <w:szCs w:val="22"/>
          <w:lang w:val="ru-RU"/>
        </w:rPr>
        <w:t xml:space="preserve">10.Учасник повинен надати Замовнику послуги для 143 абонентів. </w:t>
      </w:r>
    </w:p>
    <w:p>
      <w:pPr>
        <w:pStyle w:val="Normal"/>
        <w:spacing w:lineRule="auto" w:line="2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Кількість абонентів Замовник може зменшувати або збільшувати шляхом укладення додаткової угоди до договору. </w:t>
      </w:r>
    </w:p>
    <w:p>
      <w:pPr>
        <w:pStyle w:val="Normal"/>
        <w:spacing w:lineRule="auto" w:line="240"/>
        <w:jc w:val="both"/>
        <w:textAlignment w:val="baseline"/>
        <w:rPr/>
      </w:pPr>
      <w:r>
        <w:rPr>
          <w:rFonts w:ascii="Times New Roman" w:hAnsi="Times New Roman"/>
          <w:sz w:val="22"/>
          <w:szCs w:val="22"/>
        </w:rPr>
        <w:t>11.Замовник повинен мати право, орієнтуючись виключно на свої потреби, підключати/відключати ту кількість абонентів, тарифних планів та пакетів, що вважатиме за потрібне і не повинен бути обмежений Учасником.</w:t>
      </w:r>
    </w:p>
    <w:p>
      <w:pPr>
        <w:pStyle w:val="Normal"/>
        <w:spacing w:lineRule="auto" w:line="240"/>
        <w:jc w:val="both"/>
        <w:textAlignment w:val="baseline"/>
        <w:rPr/>
      </w:pPr>
      <w:r>
        <w:rPr>
          <w:rFonts w:ascii="Times New Roman" w:hAnsi="Times New Roman"/>
          <w:sz w:val="22"/>
          <w:szCs w:val="22"/>
        </w:rPr>
        <w:t xml:space="preserve">12.Учасник повинен надати Замовнику цілодобово послуги з передавання даних і повідомлень шляхом використання мобільного стільникового зв’язку у мережі Учасника  (далі - Послуги зв’язку) відповідно до вимог Закону України «Про електронні комунікації» № 1089-IХ від 16.12.2020 р. зі змінами, Правил надання та отримання телекомунікаційних послуг, затверджених постановою Кабінету Міністрів України від 11.04.2012 р. № 295. </w:t>
      </w:r>
    </w:p>
    <w:p>
      <w:pPr>
        <w:pStyle w:val="Normal"/>
        <w:spacing w:lineRule="auto" w:line="24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ab/>
        <w:t xml:space="preserve">Учасник здійснює комплексне обслуговування Замовника, що забезпечує надання повного спектра телекомунікаційних послуг фіксованого міського та фіксованого міжміського телефонного зв’язку, відповідно до вимог Закону України «Про телекомунікації» від 18.11.2003 №1280 - ІV, Правил надання та отримання телекомунікаційних послуг, затверджених постановою КМУ від 11.04.2012 №295, Порядку надання послуг із перенесення абонентських номерів, затвердженого Рішенням Національної Комісії, що здійснює державне регулювання у сфері зв’язку та інформатизації від 31.07.2015 №394 та Орієнтованого переліку видів телекомунікаційних послуг, форми опису телекомунікаційних послуг, затверджених Рішенням Національної комісії, що здійснює державне регулювання у сфері зв’язку та інформатизації від 17.12.2019 №610. 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ab/>
        <w:t xml:space="preserve">Організовує лінію зв’язку для надання вказаних послуг або у разі відсутності технічної можливості пропонує Замовнику інші варіанти підключення </w:t>
      </w:r>
      <w:r>
        <w:rPr>
          <w:rFonts w:eastAsia="Calibri" w:ascii="Times New Roman" w:hAnsi="Times New Roman"/>
          <w:b/>
          <w:bCs/>
          <w:iCs/>
          <w:sz w:val="22"/>
          <w:szCs w:val="22"/>
          <w:u w:val="single"/>
          <w:lang w:val="uk-UA" w:eastAsia="en-US"/>
        </w:rPr>
        <w:t xml:space="preserve">з обов’язковим збереженням абонентських номерів Замовника </w:t>
      </w: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 xml:space="preserve">(вказаних у </w:t>
      </w:r>
      <w:bookmarkStart w:id="1" w:name="__DdeLink__276_1094385571"/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>Додатку №3</w:t>
      </w:r>
      <w:bookmarkEnd w:id="1"/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>,  Додатку №3.1, Додатку №3.2 до Тендерної документації)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 в порядку та на умовах Правил надання та отримання телекомунікаційних послуг, затверджених постановою КМУ від 11.04.2012 №295 та Порядку надання послуг із перенесення абонентських номерів, затвердженого рішенням Національної Комісії, що здійснює державне регулювання у сфері зв’язку та інформатизації від 31.07.2015 №394.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color w:val="000000"/>
          <w:sz w:val="22"/>
          <w:szCs w:val="22"/>
          <w:lang w:val="uk-UA" w:eastAsia="en-US"/>
        </w:rPr>
        <w:tab/>
      </w: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>Забезпечує зв’язок користувачів Замовника з телефонною мережею загального користування (далі – ТМЗК).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ab/>
        <w:t>Забезпечує обслуговування вихідних (від Замовника) викликів з використанн</w:t>
      </w:r>
      <w:bookmarkStart w:id="2" w:name="_GoBack"/>
      <w:bookmarkEnd w:id="2"/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>ям нумерації: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>- міжміські виклики з ТМЗК України з набором: код міста або оператора мобільного зв’язку  та номер абонента, який викликається;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>- міські виклики: номер абонента, який викликається;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>- виклики до всіх загальнонаціональних служб;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>- виклики на номери спеціальних служб: 101, 102, 103,104 та інші.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ab/>
        <w:t>Забезпечує проведення організаційно – технічних заходів, пов’язаних з наданням даних послуг.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sz w:val="22"/>
          <w:szCs w:val="22"/>
          <w:lang w:val="uk-UA" w:eastAsia="en-US"/>
        </w:rPr>
        <w:tab/>
        <w:t>Якість послуг повинна відповідати всім технічним параметрам і стандартам для даних видів послуг, затвердженими відповідними державними органами.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i/>
          <w:iCs/>
          <w:sz w:val="22"/>
          <w:szCs w:val="22"/>
          <w:lang w:val="uk-UA" w:eastAsia="en-US"/>
        </w:rPr>
        <w:tab/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uk-UA" w:eastAsia="uk-UA"/>
        </w:rPr>
        <w:t xml:space="preserve">Учасник повинен звернути увагу на те, що у Замовника вже є існуюча телефонна мережа. Існуючі телефонні номери Замовника мають бути збережені. Учасник повинен мати дозвіл балансоутримувача існуючої АТС, куди прикріплені існуючі телефонні номери, на право їх обслуговування. 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uk-UA" w:eastAsia="uk-UA"/>
        </w:rPr>
        <w:tab/>
        <w:t>Будь-які роботи по переобладнанню існуючої мережі, або заміна існуючого обладнання виконуються за власний кошт Оператора (Виконавця) і в очікувану вартість даного Оголошення не закладені.</w:t>
      </w:r>
    </w:p>
    <w:p>
      <w:pPr>
        <w:pStyle w:val="Normal"/>
        <w:tabs>
          <w:tab w:val="clear" w:pos="720"/>
          <w:tab w:val="left" w:pos="56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uk-UA" w:eastAsia="uk-UA"/>
        </w:rPr>
        <w:tab/>
      </w:r>
      <w:r>
        <w:rPr>
          <w:rFonts w:ascii="Times New Roman" w:hAnsi="Times New Roman"/>
          <w:i/>
          <w:sz w:val="22"/>
          <w:szCs w:val="22"/>
          <w:lang w:val="uk-UA"/>
        </w:rPr>
        <w:t>У разі необхідності проведення додаткових робіт (послуг) з підключення (переключення), витрати за ці роботи (послуги) учасник повністю бере на себе.</w:t>
      </w:r>
    </w:p>
    <w:p>
      <w:pPr>
        <w:pStyle w:val="Normal"/>
        <w:spacing w:before="0" w:afterAutospacing="1"/>
        <w:ind w:hanging="426"/>
        <w:jc w:val="left"/>
        <w:rPr>
          <w:rFonts w:ascii="Times New Roman" w:hAnsi="Times New Roman" w:cs="Times New Roman"/>
          <w:b/>
          <w:b/>
          <w:bCs/>
          <w:i/>
          <w:i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i/>
          <w:sz w:val="22"/>
          <w:szCs w:val="22"/>
          <w:lang w:val="uk-UA"/>
        </w:rPr>
      </w:r>
    </w:p>
    <w:p>
      <w:pPr>
        <w:pStyle w:val="Normal"/>
        <w:tabs>
          <w:tab w:val="clear" w:pos="720"/>
          <w:tab w:val="left" w:pos="1560" w:leader="none"/>
        </w:tabs>
        <w:snapToGrid w:val="false"/>
        <w:spacing w:lineRule="auto" w:line="240" w:before="20" w:after="20"/>
        <w:jc w:val="both"/>
        <w:rPr>
          <w:rFonts w:ascii="Times New Roman" w:hAnsi="Times New Roman" w:eastAsia="Arial"/>
          <w:sz w:val="22"/>
          <w:szCs w:val="22"/>
          <w:lang w:val="ru-RU"/>
        </w:rPr>
      </w:pPr>
      <w:r>
        <w:rPr>
          <w:rFonts w:eastAsia="Arial" w:ascii="Times New Roman" w:hAnsi="Times New Roman"/>
          <w:sz w:val="22"/>
          <w:szCs w:val="22"/>
          <w:lang w:val="ru-RU"/>
        </w:rPr>
      </w:r>
    </w:p>
    <w:p>
      <w:pPr>
        <w:pStyle w:val="ListParagraph"/>
        <w:spacing w:lineRule="auto" w:line="240"/>
        <w:ind w:left="360" w:firstLine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sz w:val="22"/>
          <w:szCs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  <w:r>
        <w:br w:type="page"/>
      </w:r>
    </w:p>
    <w:p>
      <w:pPr>
        <w:pStyle w:val="Normal"/>
        <w:spacing w:lineRule="auto" w:line="240"/>
        <w:ind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Ми погоджуємося дотримуватися умов цієї пропозиції протягом 90 днів </w:t>
      </w:r>
      <w:r>
        <w:rPr>
          <w:rFonts w:cs="Times New Roman" w:ascii="Times New Roman" w:hAnsi="Times New Roman"/>
          <w:color w:val="333333"/>
          <w:sz w:val="22"/>
          <w:szCs w:val="22"/>
          <w:shd w:fill="FFFFFF" w:val="clear"/>
        </w:rPr>
        <w:t>із дати кінцевого строку подання тендерних пропозицій.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4.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ru-RU" w:bidi="ar-SA"/>
        </w:rPr>
        <w:t xml:space="preserve">15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ru-RU" w:bidi="ar-SA"/>
        </w:rPr>
        <w:t xml:space="preserve">10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МП ________________________________________________ </w:t>
      </w:r>
    </w:p>
    <w:p>
      <w:pPr>
        <w:pStyle w:val="Normal"/>
        <w:widowControl w:val="false"/>
        <w:suppressAutoHyphens w:val="true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 xml:space="preserve">(Підпис керівника підприємства, організації, установи) </w:t>
      </w:r>
    </w:p>
    <w:p>
      <w:pPr>
        <w:pStyle w:val="Normal"/>
        <w:widowControl w:val="false"/>
        <w:suppressAutoHyphens w:val="true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0"/>
          <w:szCs w:val="20"/>
          <w:lang w:eastAsia="ru-RU" w:bidi="ar-SA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ru-RU" w:bidi="ar-SA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432" w:hanging="431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432" w:hanging="43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324" w:hanging="324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навантажуваня – розвантажування, страхування, сплату податків та інших обов’язкових платежів, відповідно до чинного законодавства, тощо.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yellow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highlight w:val="yellow"/>
          <w:lang w:eastAsia="ru-RU" w:bidi="ar-SA"/>
        </w:rPr>
      </w:r>
    </w:p>
    <w:p>
      <w:pPr>
        <w:pStyle w:val="Normal"/>
        <w:widowControl w:val="false"/>
        <w:suppressAutoHyphens w:val="true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  <w:sz w:val="23"/>
          <w:szCs w:val="23"/>
          <w:highlight w:val="yellow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  <w:highlight w:val="yellow"/>
          <w:lang w:eastAsia="ru-RU" w:bidi="ar-SA"/>
        </w:rPr>
      </w:r>
    </w:p>
    <w:p>
      <w:pPr>
        <w:pStyle w:val="Normal"/>
        <w:widowControl w:val="false"/>
        <w:suppressAutoHyphens w:val="true"/>
        <w:spacing w:lineRule="auto" w:line="24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8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8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8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8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8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8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 w:customStyle="1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 w:customStyle="1">
    <w:name w:val="Прив'язка ви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Обычный (веб) Знак1"/>
    <w:basedOn w:val="DefaultParagraphFont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Абзац списка Знак1"/>
    <w:basedOn w:val="DefaultParagraphFont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22" w:customStyle="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4" w:customStyle="1">
    <w:name w:val="Верхний колонтитул Знак1"/>
    <w:basedOn w:val="DefaultParagraphFon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23" w:customStyle="1">
    <w:name w:val="Текст примечания Знак2"/>
    <w:basedOn w:val="DefaultParagraphFont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styleId="15" w:customStyle="1">
    <w:name w:val="Тема примечания Знак1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24" w:customStyle="1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Rvts44" w:customStyle="1">
    <w:name w:val="rvts44"/>
    <w:qFormat/>
    <w:rPr/>
  </w:style>
  <w:style w:type="character" w:styleId="16" w:customStyle="1">
    <w:name w:val="Основной шрифт абзаца1"/>
    <w:qFormat/>
    <w:rsid w:val="005d5a65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17" w:customStyle="1">
    <w:name w:val="Название объекта1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18" w:customStyle="1">
    <w:name w:val="Нижний колонтитул Знак1"/>
    <w:basedOn w:val="Normal"/>
    <w:next w:val="Style19"/>
    <w:link w:val="af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19" w:customStyle="1">
    <w:name w:val="Подзаголовок1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pPr>
      <w:spacing w:before="280" w:after="280"/>
    </w:pPr>
    <w:rPr/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qFormat/>
    <w:pPr>
      <w:widowControl w:val="false"/>
      <w:spacing w:before="0" w:after="0"/>
      <w:ind w:left="720" w:firstLine="280"/>
      <w:contextualSpacing/>
    </w:pPr>
    <w:rPr>
      <w:sz w:val="20"/>
      <w:szCs w:val="20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23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0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21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22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5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lang w:val="en-GB" w:eastAsia="en-US"/>
    </w:rPr>
  </w:style>
  <w:style w:type="paragraph" w:styleId="25">
    <w:name w:val="Абзац списка2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Arial Unicode MS" w:cs="Calibri"/>
      <w:kern w:val="2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fa2ad3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Application>LibreOffice/6.3.5.2$Linux_X86_64 LibreOffice_project/30$Build-2</Application>
  <Pages>3</Pages>
  <Words>922</Words>
  <Characters>6471</Characters>
  <CharactersWithSpaces>7371</CharactersWithSpaces>
  <Paragraphs>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2022-12-26T14:05:02Z</cp:lastPrinted>
  <dcterms:modified xsi:type="dcterms:W3CDTF">2022-12-27T12:08:13Z</dcterms:modified>
  <cp:revision>562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