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580D" w14:textId="4906C61A" w:rsidR="007D15F9" w:rsidRPr="00F11ADF" w:rsidRDefault="00147B5A" w:rsidP="007D15F9">
      <w:pPr>
        <w:spacing w:after="0" w:line="240" w:lineRule="auto"/>
        <w:jc w:val="center"/>
        <w:rPr>
          <w:b/>
          <w:bCs/>
          <w:sz w:val="38"/>
          <w:szCs w:val="38"/>
          <w:lang w:val="uk-UA" w:eastAsia="ru-RU"/>
        </w:rPr>
      </w:pPr>
      <w:proofErr w:type="spellStart"/>
      <w:r w:rsidRPr="00147B5A">
        <w:rPr>
          <w:rFonts w:eastAsia="Times New Roman"/>
          <w:b/>
          <w:bCs/>
          <w:sz w:val="32"/>
          <w:szCs w:val="32"/>
          <w:lang w:eastAsia="ru-RU"/>
        </w:rPr>
        <w:t>Житомирський</w:t>
      </w:r>
      <w:proofErr w:type="spellEnd"/>
      <w:r w:rsidRPr="00147B5A">
        <w:rPr>
          <w:rFonts w:eastAsia="Times New Roman"/>
          <w:b/>
          <w:bCs/>
          <w:sz w:val="32"/>
          <w:szCs w:val="32"/>
          <w:lang w:eastAsia="ru-RU"/>
        </w:rPr>
        <w:t xml:space="preserve"> </w:t>
      </w:r>
      <w:proofErr w:type="spellStart"/>
      <w:r w:rsidRPr="00147B5A">
        <w:rPr>
          <w:rFonts w:eastAsia="Times New Roman"/>
          <w:b/>
          <w:bCs/>
          <w:sz w:val="32"/>
          <w:szCs w:val="32"/>
          <w:lang w:eastAsia="ru-RU"/>
        </w:rPr>
        <w:t>дошкільний</w:t>
      </w:r>
      <w:proofErr w:type="spellEnd"/>
      <w:r w:rsidRPr="00147B5A">
        <w:rPr>
          <w:rFonts w:eastAsia="Times New Roman"/>
          <w:b/>
          <w:bCs/>
          <w:sz w:val="32"/>
          <w:szCs w:val="32"/>
          <w:lang w:eastAsia="ru-RU"/>
        </w:rPr>
        <w:t xml:space="preserve"> </w:t>
      </w:r>
      <w:proofErr w:type="spellStart"/>
      <w:r w:rsidRPr="00147B5A">
        <w:rPr>
          <w:rFonts w:eastAsia="Times New Roman"/>
          <w:b/>
          <w:bCs/>
          <w:sz w:val="32"/>
          <w:szCs w:val="32"/>
          <w:lang w:eastAsia="ru-RU"/>
        </w:rPr>
        <w:t>навчальний</w:t>
      </w:r>
      <w:proofErr w:type="spellEnd"/>
      <w:r w:rsidRPr="00147B5A">
        <w:rPr>
          <w:rFonts w:eastAsia="Times New Roman"/>
          <w:b/>
          <w:bCs/>
          <w:sz w:val="32"/>
          <w:szCs w:val="32"/>
          <w:lang w:eastAsia="ru-RU"/>
        </w:rPr>
        <w:t xml:space="preserve"> </w:t>
      </w:r>
      <w:proofErr w:type="spellStart"/>
      <w:r w:rsidRPr="00147B5A">
        <w:rPr>
          <w:rFonts w:eastAsia="Times New Roman"/>
          <w:b/>
          <w:bCs/>
          <w:sz w:val="32"/>
          <w:szCs w:val="32"/>
          <w:lang w:eastAsia="ru-RU"/>
        </w:rPr>
        <w:t>заклад</w:t>
      </w:r>
      <w:proofErr w:type="spellEnd"/>
      <w:r w:rsidRPr="00147B5A">
        <w:rPr>
          <w:rFonts w:eastAsia="Times New Roman"/>
          <w:b/>
          <w:bCs/>
          <w:sz w:val="32"/>
          <w:szCs w:val="32"/>
          <w:lang w:eastAsia="ru-RU"/>
        </w:rPr>
        <w:t xml:space="preserve"> № </w:t>
      </w:r>
      <w:r w:rsidR="007D6D42">
        <w:rPr>
          <w:rFonts w:eastAsia="Times New Roman"/>
          <w:b/>
          <w:bCs/>
          <w:sz w:val="32"/>
          <w:szCs w:val="32"/>
          <w:lang w:val="uk-UA" w:eastAsia="ru-RU"/>
        </w:rPr>
        <w:t>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AE7333"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2B687196" w14:textId="77777777" w:rsidR="00467970" w:rsidRDefault="00467970" w:rsidP="00750F4B">
            <w:pPr>
              <w:spacing w:before="240"/>
              <w:rPr>
                <w:rFonts w:ascii="Times New Roman" w:eastAsia="Times New Roman" w:hAnsi="Times New Roman"/>
                <w:bCs/>
                <w:color w:val="000000"/>
                <w:sz w:val="24"/>
                <w:szCs w:val="24"/>
                <w:lang w:eastAsia="ru-RU"/>
              </w:rPr>
            </w:pPr>
          </w:p>
          <w:p w14:paraId="00B43144" w14:textId="32BA2D4B"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398B2540"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8445C3">
              <w:rPr>
                <w:rFonts w:ascii="Times New Roman" w:eastAsia="Times New Roman" w:hAnsi="Times New Roman"/>
                <w:bCs/>
                <w:sz w:val="24"/>
                <w:szCs w:val="24"/>
                <w:lang w:eastAsia="ru-RU"/>
              </w:rPr>
              <w:t>0</w:t>
            </w:r>
            <w:r w:rsidR="00910C19">
              <w:rPr>
                <w:rFonts w:ascii="Times New Roman" w:eastAsia="Times New Roman" w:hAnsi="Times New Roman"/>
                <w:bCs/>
                <w:sz w:val="24"/>
                <w:szCs w:val="24"/>
                <w:lang w:eastAsia="ru-RU"/>
              </w:rPr>
              <w:t>6</w:t>
            </w:r>
            <w:r w:rsidRPr="00E5526C">
              <w:rPr>
                <w:rFonts w:ascii="Times New Roman" w:eastAsia="Times New Roman" w:hAnsi="Times New Roman"/>
                <w:bCs/>
                <w:sz w:val="24"/>
                <w:szCs w:val="24"/>
                <w:lang w:eastAsia="ru-RU"/>
              </w:rPr>
              <w:t xml:space="preserve"> » </w:t>
            </w:r>
            <w:r w:rsidR="008445C3">
              <w:rPr>
                <w:rFonts w:ascii="Times New Roman" w:eastAsia="Times New Roman" w:hAnsi="Times New Roman"/>
                <w:bCs/>
                <w:sz w:val="24"/>
                <w:szCs w:val="24"/>
                <w:lang w:eastAsia="ru-RU"/>
              </w:rPr>
              <w:t>грудня</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79647F3F" w:rsidR="007D15F9" w:rsidRDefault="007D6D42" w:rsidP="00750F4B">
            <w:pPr>
              <w:rPr>
                <w:rFonts w:ascii="Times New Roman" w:hAnsi="Times New Roman"/>
                <w:b/>
              </w:rPr>
            </w:pPr>
            <w:proofErr w:type="spellStart"/>
            <w:r w:rsidRPr="007D6D42">
              <w:rPr>
                <w:rFonts w:ascii="Times New Roman" w:eastAsia="Times New Roman" w:hAnsi="Times New Roman"/>
                <w:bCs/>
                <w:sz w:val="24"/>
                <w:szCs w:val="24"/>
                <w:lang w:eastAsia="ru-RU"/>
              </w:rPr>
              <w:t>Недобрик</w:t>
            </w:r>
            <w:proofErr w:type="spellEnd"/>
            <w:r w:rsidRPr="007D6D42">
              <w:rPr>
                <w:rFonts w:ascii="Times New Roman" w:eastAsia="Times New Roman" w:hAnsi="Times New Roman"/>
                <w:bCs/>
                <w:sz w:val="24"/>
                <w:szCs w:val="24"/>
                <w:lang w:eastAsia="ru-RU"/>
              </w:rPr>
              <w:t xml:space="preserve"> Н</w:t>
            </w:r>
            <w:r>
              <w:rPr>
                <w:rFonts w:ascii="Times New Roman" w:eastAsia="Times New Roman" w:hAnsi="Times New Roman"/>
                <w:bCs/>
                <w:sz w:val="24"/>
                <w:szCs w:val="24"/>
                <w:lang w:eastAsia="ru-RU"/>
              </w:rPr>
              <w:t>.І</w:t>
            </w:r>
            <w:r w:rsidR="0094301C">
              <w:rPr>
                <w:rFonts w:ascii="Times New Roman" w:eastAsia="Times New Roman" w:hAnsi="Times New Roman"/>
                <w:bCs/>
                <w:sz w:val="24"/>
                <w:szCs w:val="24"/>
                <w:lang w:eastAsia="ru-RU"/>
              </w:rPr>
              <w:t>.</w:t>
            </w:r>
            <w:r w:rsidR="0094301C">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AE7333"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закупівлі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AE7333"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r w:rsidR="00000000">
              <w:fldChar w:fldCharType="begin"/>
            </w:r>
            <w:r w:rsidR="00000000">
              <w:instrText>HYPERLINK</w:instrText>
            </w:r>
            <w:r w:rsidR="00000000" w:rsidRPr="00AE7333">
              <w:rPr>
                <w:lang w:val="uk-UA"/>
              </w:rPr>
              <w:instrText xml:space="preserve"> "</w:instrText>
            </w:r>
            <w:r w:rsidR="00000000">
              <w:instrText>http</w:instrText>
            </w:r>
            <w:r w:rsidR="00000000" w:rsidRPr="00AE7333">
              <w:rPr>
                <w:lang w:val="uk-UA"/>
              </w:rPr>
              <w:instrText>://</w:instrText>
            </w:r>
            <w:r w:rsidR="00000000">
              <w:instrText>zakon</w:instrText>
            </w:r>
            <w:r w:rsidR="00000000" w:rsidRPr="00AE7333">
              <w:rPr>
                <w:lang w:val="uk-UA"/>
              </w:rPr>
              <w:instrText>0.</w:instrText>
            </w:r>
            <w:r w:rsidR="00000000">
              <w:instrText>rada</w:instrText>
            </w:r>
            <w:r w:rsidR="00000000" w:rsidRPr="00AE7333">
              <w:rPr>
                <w:lang w:val="uk-UA"/>
              </w:rPr>
              <w:instrText>.</w:instrText>
            </w:r>
            <w:r w:rsidR="00000000">
              <w:instrText>gov</w:instrText>
            </w:r>
            <w:r w:rsidR="00000000" w:rsidRPr="00AE7333">
              <w:rPr>
                <w:lang w:val="uk-UA"/>
              </w:rPr>
              <w:instrText>.</w:instrText>
            </w:r>
            <w:r w:rsidR="00000000">
              <w:instrText>ua</w:instrText>
            </w:r>
            <w:r w:rsidR="00000000" w:rsidRPr="00AE7333">
              <w:rPr>
                <w:lang w:val="uk-UA"/>
              </w:rPr>
              <w:instrText>/</w:instrText>
            </w:r>
            <w:r w:rsidR="00000000">
              <w:instrText>laws</w:instrText>
            </w:r>
            <w:r w:rsidR="00000000" w:rsidRPr="00AE7333">
              <w:rPr>
                <w:lang w:val="uk-UA"/>
              </w:rPr>
              <w:instrText>/</w:instrText>
            </w:r>
            <w:r w:rsidR="00000000">
              <w:instrText>show</w:instrText>
            </w:r>
            <w:r w:rsidR="00000000" w:rsidRPr="00AE7333">
              <w:rPr>
                <w:lang w:val="uk-UA"/>
              </w:rPr>
              <w:instrText>/2289-17" \</w:instrText>
            </w:r>
            <w:r w:rsidR="00000000">
              <w:instrText>t</w:instrText>
            </w:r>
            <w:r w:rsidR="00000000" w:rsidRPr="00AE7333">
              <w:rPr>
                <w:lang w:val="uk-UA"/>
              </w:rPr>
              <w:instrText xml:space="preserve"> "_</w:instrText>
            </w:r>
            <w:r w:rsidR="00000000">
              <w:instrText>blank</w:instrText>
            </w:r>
            <w:r w:rsidR="00000000" w:rsidRPr="00AE7333">
              <w:rPr>
                <w:lang w:val="uk-UA"/>
              </w:rPr>
              <w:instrText>"</w:instrText>
            </w:r>
            <w:r w:rsidR="00000000">
              <w:fldChar w:fldCharType="separate"/>
            </w:r>
            <w:r w:rsidRPr="0072567F">
              <w:rPr>
                <w:rFonts w:eastAsia="Calibri"/>
                <w:i/>
                <w:sz w:val="24"/>
                <w:lang w:val="uk-UA" w:eastAsia="uk-UA"/>
              </w:rPr>
              <w:t>Закону</w:t>
            </w:r>
            <w:r w:rsidR="00000000">
              <w:rPr>
                <w:rFonts w:eastAsia="Calibri"/>
                <w:i/>
                <w:sz w:val="24"/>
                <w:lang w:val="uk-UA" w:eastAsia="uk-UA"/>
              </w:rPr>
              <w:fldChar w:fldCharType="end"/>
            </w:r>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40543" w:rsidRPr="00467970" w14:paraId="6617CC63" w14:textId="77777777" w:rsidTr="00B93ADE">
        <w:trPr>
          <w:trHeight w:val="370"/>
          <w:jc w:val="center"/>
        </w:trPr>
        <w:tc>
          <w:tcPr>
            <w:tcW w:w="576" w:type="dxa"/>
            <w:shd w:val="clear" w:color="auto" w:fill="auto"/>
          </w:tcPr>
          <w:p w14:paraId="1E05B88D" w14:textId="77777777" w:rsidR="00C40543" w:rsidRPr="0072567F" w:rsidRDefault="00C40543" w:rsidP="00C40543">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40543" w:rsidRPr="0072567F" w:rsidRDefault="00C40543" w:rsidP="00C40543">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vAlign w:val="center"/>
          </w:tcPr>
          <w:p w14:paraId="107B527A" w14:textId="3D446FA4" w:rsidR="00C40543" w:rsidRPr="00D76AE2" w:rsidRDefault="00C40543" w:rsidP="00C40543">
            <w:pPr>
              <w:spacing w:after="0" w:line="240" w:lineRule="auto"/>
              <w:jc w:val="both"/>
              <w:rPr>
                <w:rFonts w:eastAsia="Calibri"/>
                <w:b/>
                <w:sz w:val="24"/>
                <w:lang w:val="uk-UA" w:eastAsia="ru-RU"/>
              </w:rPr>
            </w:pPr>
            <w:proofErr w:type="spellStart"/>
            <w:r w:rsidRPr="00C40543">
              <w:rPr>
                <w:b/>
                <w:bCs/>
                <w:sz w:val="24"/>
              </w:rPr>
              <w:t>Житомирський</w:t>
            </w:r>
            <w:proofErr w:type="spellEnd"/>
            <w:r w:rsidRPr="00C40543">
              <w:rPr>
                <w:b/>
                <w:bCs/>
                <w:sz w:val="24"/>
              </w:rPr>
              <w:t xml:space="preserve"> </w:t>
            </w:r>
            <w:proofErr w:type="spellStart"/>
            <w:r w:rsidRPr="00C40543">
              <w:rPr>
                <w:b/>
                <w:bCs/>
                <w:sz w:val="24"/>
              </w:rPr>
              <w:t>дошкільний</w:t>
            </w:r>
            <w:proofErr w:type="spellEnd"/>
            <w:r w:rsidRPr="00C40543">
              <w:rPr>
                <w:b/>
                <w:bCs/>
                <w:sz w:val="24"/>
              </w:rPr>
              <w:t xml:space="preserve"> </w:t>
            </w:r>
            <w:proofErr w:type="spellStart"/>
            <w:r w:rsidRPr="00C40543">
              <w:rPr>
                <w:b/>
                <w:bCs/>
                <w:sz w:val="24"/>
              </w:rPr>
              <w:t>навчальний</w:t>
            </w:r>
            <w:proofErr w:type="spellEnd"/>
            <w:r w:rsidRPr="00C40543">
              <w:rPr>
                <w:b/>
                <w:bCs/>
                <w:sz w:val="24"/>
              </w:rPr>
              <w:t xml:space="preserve"> </w:t>
            </w:r>
            <w:proofErr w:type="spellStart"/>
            <w:r w:rsidRPr="00C40543">
              <w:rPr>
                <w:b/>
                <w:bCs/>
                <w:sz w:val="24"/>
              </w:rPr>
              <w:t>заклад</w:t>
            </w:r>
            <w:proofErr w:type="spellEnd"/>
            <w:r w:rsidRPr="00C40543">
              <w:rPr>
                <w:b/>
                <w:bCs/>
                <w:sz w:val="24"/>
              </w:rPr>
              <w:t xml:space="preserve"> №</w:t>
            </w:r>
            <w:r w:rsidR="007D6D42">
              <w:rPr>
                <w:b/>
                <w:bCs/>
                <w:sz w:val="24"/>
                <w:lang w:val="uk-UA"/>
              </w:rPr>
              <w:t>51</w:t>
            </w:r>
          </w:p>
        </w:tc>
      </w:tr>
      <w:tr w:rsidR="007D6D42" w:rsidRPr="00AE7333" w14:paraId="111BE6B9" w14:textId="77777777" w:rsidTr="002904D2">
        <w:trPr>
          <w:trHeight w:val="612"/>
          <w:jc w:val="center"/>
        </w:trPr>
        <w:tc>
          <w:tcPr>
            <w:tcW w:w="576" w:type="dxa"/>
            <w:shd w:val="clear" w:color="auto" w:fill="auto"/>
          </w:tcPr>
          <w:p w14:paraId="3A08E967" w14:textId="77777777" w:rsidR="007D6D42" w:rsidRPr="0072567F" w:rsidRDefault="007D6D42" w:rsidP="007D6D42">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7D6D42" w:rsidRPr="0072567F" w:rsidRDefault="007D6D42" w:rsidP="007D6D42">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1D58FD7A" w:rsidR="007D6D42" w:rsidRPr="00910C19" w:rsidRDefault="007D6D42" w:rsidP="007D6D42">
            <w:pPr>
              <w:widowControl w:val="0"/>
              <w:spacing w:after="0" w:line="240" w:lineRule="auto"/>
              <w:contextualSpacing/>
              <w:jc w:val="both"/>
              <w:rPr>
                <w:rFonts w:eastAsia="Calibri"/>
                <w:sz w:val="24"/>
                <w:lang w:val="ru-RU" w:eastAsia="uk-UA"/>
              </w:rPr>
            </w:pPr>
            <w:r w:rsidRPr="0056263B">
              <w:rPr>
                <w:sz w:val="24"/>
                <w:lang w:val="ru-RU"/>
              </w:rPr>
              <w:t xml:space="preserve">10001, </w:t>
            </w:r>
            <w:proofErr w:type="spellStart"/>
            <w:r w:rsidRPr="0056263B">
              <w:rPr>
                <w:sz w:val="24"/>
                <w:lang w:val="ru-RU"/>
              </w:rPr>
              <w:t>м.Житомир</w:t>
            </w:r>
            <w:proofErr w:type="spellEnd"/>
            <w:r w:rsidRPr="0056263B">
              <w:rPr>
                <w:sz w:val="24"/>
                <w:lang w:val="ru-RU"/>
              </w:rPr>
              <w:t xml:space="preserve">, </w:t>
            </w:r>
            <w:proofErr w:type="spellStart"/>
            <w:r w:rsidRPr="0056263B">
              <w:rPr>
                <w:sz w:val="24"/>
                <w:lang w:val="ru-RU"/>
              </w:rPr>
              <w:t>вул</w:t>
            </w:r>
            <w:proofErr w:type="spellEnd"/>
            <w:r w:rsidRPr="0056263B">
              <w:rPr>
                <w:sz w:val="24"/>
                <w:lang w:val="ru-RU"/>
              </w:rPr>
              <w:t xml:space="preserve">. </w:t>
            </w:r>
            <w:proofErr w:type="spellStart"/>
            <w:r w:rsidRPr="0056263B">
              <w:rPr>
                <w:sz w:val="24"/>
                <w:lang w:val="ru-RU"/>
              </w:rPr>
              <w:t>Вокзальна</w:t>
            </w:r>
            <w:proofErr w:type="spellEnd"/>
            <w:r w:rsidRPr="0056263B">
              <w:rPr>
                <w:sz w:val="24"/>
                <w:lang w:val="ru-RU"/>
              </w:rPr>
              <w:t>, 18а</w:t>
            </w:r>
          </w:p>
        </w:tc>
      </w:tr>
      <w:tr w:rsidR="007D6D42" w:rsidRPr="00AE7333" w14:paraId="305F9967" w14:textId="77777777" w:rsidTr="002904D2">
        <w:trPr>
          <w:trHeight w:val="522"/>
          <w:jc w:val="center"/>
        </w:trPr>
        <w:tc>
          <w:tcPr>
            <w:tcW w:w="576" w:type="dxa"/>
            <w:shd w:val="clear" w:color="auto" w:fill="auto"/>
          </w:tcPr>
          <w:p w14:paraId="766EF9A1" w14:textId="77777777" w:rsidR="007D6D42" w:rsidRPr="0072567F" w:rsidRDefault="007D6D42" w:rsidP="007D6D42">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7D6D42" w:rsidRPr="0072567F" w:rsidRDefault="007D6D42" w:rsidP="007D6D42">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132A6BAF" w14:textId="42109220" w:rsidR="007D6D42" w:rsidRDefault="007D6D42" w:rsidP="007D6D42">
            <w:pPr>
              <w:widowControl w:val="0"/>
              <w:spacing w:after="0" w:line="240" w:lineRule="auto"/>
              <w:contextualSpacing/>
              <w:jc w:val="both"/>
              <w:rPr>
                <w:color w:val="000000"/>
                <w:sz w:val="24"/>
                <w:lang w:val="uk-UA" w:eastAsia="uk-UA"/>
              </w:rPr>
            </w:pPr>
            <w:proofErr w:type="spellStart"/>
            <w:r w:rsidRPr="007D6D42">
              <w:rPr>
                <w:color w:val="000000"/>
                <w:sz w:val="24"/>
                <w:lang w:val="uk-UA" w:eastAsia="uk-UA"/>
              </w:rPr>
              <w:t>Недобрик</w:t>
            </w:r>
            <w:proofErr w:type="spellEnd"/>
            <w:r w:rsidRPr="007D6D42">
              <w:rPr>
                <w:color w:val="000000"/>
                <w:sz w:val="24"/>
                <w:lang w:val="uk-UA" w:eastAsia="uk-UA"/>
              </w:rPr>
              <w:t xml:space="preserve"> Наталія Іванівна</w:t>
            </w:r>
            <w:r>
              <w:rPr>
                <w:color w:val="000000"/>
                <w:sz w:val="24"/>
                <w:lang w:val="uk-UA" w:eastAsia="uk-UA"/>
              </w:rPr>
              <w:t>, бухгалтер</w:t>
            </w:r>
          </w:p>
          <w:p w14:paraId="5D71D9D6" w14:textId="77777777" w:rsidR="007D6D42" w:rsidRPr="00B13549" w:rsidRDefault="007D6D42" w:rsidP="007D6D42">
            <w:pPr>
              <w:widowControl w:val="0"/>
              <w:spacing w:after="0" w:line="240" w:lineRule="auto"/>
              <w:contextualSpacing/>
              <w:jc w:val="both"/>
              <w:rPr>
                <w:b/>
                <w:i/>
                <w:color w:val="FF0000"/>
                <w:sz w:val="24"/>
                <w:lang w:val="uk-UA" w:eastAsia="ru-RU"/>
              </w:rPr>
            </w:pPr>
          </w:p>
          <w:p w14:paraId="73BEC899" w14:textId="77777777" w:rsidR="007D6D42" w:rsidRPr="00677B1B" w:rsidRDefault="007D6D42" w:rsidP="007D6D42">
            <w:pPr>
              <w:widowControl w:val="0"/>
              <w:spacing w:after="0" w:line="240" w:lineRule="auto"/>
              <w:contextualSpacing/>
              <w:jc w:val="both"/>
              <w:rPr>
                <w:color w:val="000000"/>
                <w:sz w:val="24"/>
                <w:lang w:val="ru-RU" w:eastAsia="uk-UA"/>
              </w:rPr>
            </w:pPr>
            <w:r w:rsidRPr="00087FF6">
              <w:rPr>
                <w:color w:val="000000"/>
                <w:sz w:val="24"/>
                <w:lang w:val="uk-UA" w:eastAsia="uk-UA"/>
              </w:rPr>
              <w:t>Місцезнаходження:</w:t>
            </w:r>
            <w:r>
              <w:rPr>
                <w:color w:val="000000"/>
                <w:sz w:val="24"/>
                <w:lang w:val="uk-UA" w:eastAsia="uk-UA"/>
              </w:rPr>
              <w:t xml:space="preserve"> </w:t>
            </w:r>
            <w:r w:rsidRPr="0056263B">
              <w:rPr>
                <w:color w:val="000000"/>
                <w:sz w:val="24"/>
                <w:lang w:val="uk-UA" w:eastAsia="uk-UA"/>
              </w:rPr>
              <w:t xml:space="preserve">10001, </w:t>
            </w:r>
            <w:proofErr w:type="spellStart"/>
            <w:r w:rsidRPr="0056263B">
              <w:rPr>
                <w:color w:val="000000"/>
                <w:sz w:val="24"/>
                <w:lang w:val="uk-UA" w:eastAsia="uk-UA"/>
              </w:rPr>
              <w:t>м.Житомир</w:t>
            </w:r>
            <w:proofErr w:type="spellEnd"/>
            <w:r w:rsidRPr="0056263B">
              <w:rPr>
                <w:color w:val="000000"/>
                <w:sz w:val="24"/>
                <w:lang w:val="uk-UA" w:eastAsia="uk-UA"/>
              </w:rPr>
              <w:t>, вул. Вокзальна, 18а</w:t>
            </w:r>
          </w:p>
          <w:p w14:paraId="792277F6" w14:textId="77777777" w:rsidR="007D6D42" w:rsidRPr="007D6D42" w:rsidRDefault="007D6D42" w:rsidP="007D6D42">
            <w:pPr>
              <w:widowControl w:val="0"/>
              <w:spacing w:after="0" w:line="240" w:lineRule="auto"/>
              <w:contextualSpacing/>
              <w:jc w:val="both"/>
              <w:rPr>
                <w:color w:val="000000"/>
                <w:sz w:val="24"/>
                <w:lang w:val="ru-RU" w:eastAsia="uk-UA"/>
              </w:rPr>
            </w:pPr>
          </w:p>
          <w:p w14:paraId="3A61053D" w14:textId="360AF4D7" w:rsidR="007D6D42" w:rsidRDefault="007D6D42" w:rsidP="007D6D42">
            <w:pPr>
              <w:widowControl w:val="0"/>
              <w:spacing w:after="0" w:line="240" w:lineRule="auto"/>
              <w:contextualSpacing/>
              <w:jc w:val="both"/>
              <w:rPr>
                <w:color w:val="000000"/>
                <w:sz w:val="24"/>
                <w:lang w:val="uk-UA" w:eastAsia="uk-UA"/>
              </w:rPr>
            </w:pPr>
            <w:proofErr w:type="spellStart"/>
            <w:r w:rsidRPr="00087FF6">
              <w:rPr>
                <w:color w:val="000000"/>
                <w:sz w:val="24"/>
                <w:lang w:val="uk-UA" w:eastAsia="uk-UA"/>
              </w:rPr>
              <w:t>Тел</w:t>
            </w:r>
            <w:proofErr w:type="spellEnd"/>
            <w:r w:rsidRPr="00087FF6">
              <w:rPr>
                <w:color w:val="000000"/>
                <w:sz w:val="24"/>
                <w:lang w:val="uk-UA" w:eastAsia="uk-UA"/>
              </w:rPr>
              <w:t xml:space="preserve">./факс </w:t>
            </w:r>
            <w:r w:rsidRPr="007D6D42">
              <w:rPr>
                <w:color w:val="000000"/>
                <w:sz w:val="24"/>
                <w:lang w:val="uk-UA" w:eastAsia="uk-UA"/>
              </w:rPr>
              <w:t>+380965382221; +380681716715</w:t>
            </w:r>
          </w:p>
          <w:p w14:paraId="7E41762D" w14:textId="3712CC27" w:rsidR="007D6D42" w:rsidRPr="00C40543" w:rsidRDefault="007D6D42" w:rsidP="007D6D42">
            <w:pPr>
              <w:widowControl w:val="0"/>
              <w:spacing w:after="0" w:line="240" w:lineRule="auto"/>
              <w:contextualSpacing/>
              <w:jc w:val="both"/>
              <w:rPr>
                <w:rFonts w:eastAsia="Times New Roman"/>
                <w:sz w:val="24"/>
                <w:lang w:val="uk-UA" w:eastAsia="uk-UA"/>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proofErr w:type="spellStart"/>
            <w:r w:rsidRPr="0056263B">
              <w:rPr>
                <w:sz w:val="24"/>
                <w:lang w:eastAsia="uk-UA"/>
              </w:rPr>
              <w:t>zdnz</w:t>
            </w:r>
            <w:proofErr w:type="spellEnd"/>
            <w:r w:rsidRPr="0056263B">
              <w:rPr>
                <w:sz w:val="24"/>
                <w:lang w:val="ru-RU" w:eastAsia="uk-UA"/>
              </w:rPr>
              <w:t>-51@</w:t>
            </w:r>
            <w:proofErr w:type="spellStart"/>
            <w:r w:rsidRPr="0056263B">
              <w:rPr>
                <w:sz w:val="24"/>
                <w:lang w:eastAsia="uk-UA"/>
              </w:rPr>
              <w:t>ukr</w:t>
            </w:r>
            <w:proofErr w:type="spellEnd"/>
            <w:r w:rsidRPr="0056263B">
              <w:rPr>
                <w:sz w:val="24"/>
                <w:lang w:val="ru-RU" w:eastAsia="uk-UA"/>
              </w:rPr>
              <w:t>.</w:t>
            </w:r>
            <w:r w:rsidRPr="0056263B">
              <w:rPr>
                <w:sz w:val="24"/>
                <w:lang w:eastAsia="uk-UA"/>
              </w:rPr>
              <w:t>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AE7333"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AE7333"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23910D7" w14:textId="4B26D3C2" w:rsidR="00C84F42" w:rsidRPr="00C40543" w:rsidRDefault="00C50DF6" w:rsidP="00C50DF6">
            <w:pPr>
              <w:widowControl w:val="0"/>
              <w:spacing w:after="0" w:line="240" w:lineRule="auto"/>
              <w:contextualSpacing/>
              <w:jc w:val="both"/>
              <w:rPr>
                <w:iCs/>
                <w:sz w:val="24"/>
                <w:lang w:val="ru-RU"/>
              </w:rPr>
            </w:pPr>
            <w:proofErr w:type="spellStart"/>
            <w:r w:rsidRPr="00C50DF6">
              <w:rPr>
                <w:iCs/>
                <w:sz w:val="24"/>
                <w:lang w:val="ru-RU"/>
              </w:rPr>
              <w:t>Місце</w:t>
            </w:r>
            <w:proofErr w:type="spellEnd"/>
            <w:r w:rsidRPr="00C50DF6">
              <w:rPr>
                <w:iCs/>
                <w:sz w:val="24"/>
                <w:lang w:val="ru-RU"/>
              </w:rPr>
              <w:t xml:space="preserve"> поставки – </w:t>
            </w:r>
            <w:r w:rsidR="007D6D42" w:rsidRPr="007D6D42">
              <w:rPr>
                <w:iCs/>
                <w:sz w:val="24"/>
                <w:lang w:val="ru-RU"/>
              </w:rPr>
              <w:t xml:space="preserve">10001, </w:t>
            </w:r>
            <w:proofErr w:type="spellStart"/>
            <w:r w:rsidR="007D6D42" w:rsidRPr="007D6D42">
              <w:rPr>
                <w:iCs/>
                <w:sz w:val="24"/>
                <w:lang w:val="ru-RU"/>
              </w:rPr>
              <w:t>м.Житомир</w:t>
            </w:r>
            <w:proofErr w:type="spellEnd"/>
            <w:r w:rsidR="007D6D42" w:rsidRPr="007D6D42">
              <w:rPr>
                <w:iCs/>
                <w:sz w:val="24"/>
                <w:lang w:val="ru-RU"/>
              </w:rPr>
              <w:t xml:space="preserve">, </w:t>
            </w:r>
            <w:proofErr w:type="spellStart"/>
            <w:r w:rsidR="007D6D42" w:rsidRPr="007D6D42">
              <w:rPr>
                <w:iCs/>
                <w:sz w:val="24"/>
                <w:lang w:val="ru-RU"/>
              </w:rPr>
              <w:t>вул</w:t>
            </w:r>
            <w:proofErr w:type="spellEnd"/>
            <w:r w:rsidR="007D6D42" w:rsidRPr="007D6D42">
              <w:rPr>
                <w:iCs/>
                <w:sz w:val="24"/>
                <w:lang w:val="ru-RU"/>
              </w:rPr>
              <w:t xml:space="preserve">. </w:t>
            </w:r>
            <w:proofErr w:type="spellStart"/>
            <w:r w:rsidR="007D6D42" w:rsidRPr="007D6D42">
              <w:rPr>
                <w:iCs/>
                <w:sz w:val="24"/>
                <w:lang w:val="ru-RU"/>
              </w:rPr>
              <w:t>Вокзальна</w:t>
            </w:r>
            <w:proofErr w:type="spellEnd"/>
            <w:r w:rsidR="007D6D42" w:rsidRPr="007D6D42">
              <w:rPr>
                <w:iCs/>
                <w:sz w:val="24"/>
                <w:lang w:val="ru-RU"/>
              </w:rPr>
              <w:t>, 18а</w:t>
            </w: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777A8D07" w:rsidR="00361B65" w:rsidRPr="00AD574C" w:rsidRDefault="00C50DF6" w:rsidP="00A71962">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7D6D42">
              <w:rPr>
                <w:rFonts w:eastAsia="Times New Roman"/>
                <w:color w:val="FF0000"/>
                <w:sz w:val="24"/>
                <w:lang w:val="ru-RU"/>
              </w:rPr>
              <w:t>36 6</w:t>
            </w:r>
            <w:r w:rsidR="00C40543">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AE7333"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w:t>
            </w:r>
            <w:r w:rsidR="003F1BA7" w:rsidRPr="003F1BA7">
              <w:rPr>
                <w:b/>
                <w:i/>
                <w:sz w:val="24"/>
                <w:lang w:val="ru-RU" w:eastAsia="ru-RU"/>
              </w:rPr>
              <w:t>д</w:t>
            </w:r>
            <w:r w:rsidR="008C42CA" w:rsidRPr="003F1BA7">
              <w:rPr>
                <w:b/>
                <w:i/>
                <w:sz w:val="24"/>
                <w:lang w:val="ru-RU" w:eastAsia="ru-RU"/>
              </w:rPr>
              <w:t xml:space="preserve">о 31 </w:t>
            </w:r>
            <w:proofErr w:type="spellStart"/>
            <w:r w:rsidR="008C42CA" w:rsidRPr="003F1BA7">
              <w:rPr>
                <w:b/>
                <w:i/>
                <w:sz w:val="24"/>
                <w:lang w:val="ru-RU" w:eastAsia="ru-RU"/>
              </w:rPr>
              <w:t>грудня</w:t>
            </w:r>
            <w:proofErr w:type="spellEnd"/>
            <w:r w:rsidR="008C42CA" w:rsidRPr="003F1BA7">
              <w:rPr>
                <w:b/>
                <w:i/>
                <w:sz w:val="24"/>
                <w:lang w:val="ru-RU" w:eastAsia="ru-RU"/>
              </w:rPr>
              <w:t xml:space="preserve"> 202</w:t>
            </w:r>
            <w:r>
              <w:rPr>
                <w:b/>
                <w:i/>
                <w:sz w:val="24"/>
                <w:lang w:val="ru-RU" w:eastAsia="ru-RU"/>
              </w:rPr>
              <w:t>4</w:t>
            </w:r>
            <w:r w:rsidR="008C42CA" w:rsidRPr="003F1BA7">
              <w:rPr>
                <w:b/>
                <w:i/>
                <w:sz w:val="24"/>
                <w:lang w:val="ru-RU" w:eastAsia="ru-RU"/>
              </w:rPr>
              <w:t xml:space="preserve"> р.</w:t>
            </w:r>
          </w:p>
        </w:tc>
      </w:tr>
      <w:tr w:rsidR="0072567F" w:rsidRPr="00AE7333"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E96524">
              <w:rPr>
                <w:rFonts w:eastAsia="Calibri"/>
                <w:b/>
                <w:i/>
                <w:sz w:val="24"/>
                <w:lang w:val="uk-UA" w:eastAsia="uk-UA"/>
              </w:rPr>
              <w:lastRenderedPageBreak/>
              <w:t xml:space="preserve">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w:t>
            </w:r>
            <w:r w:rsidR="000B49D8" w:rsidRPr="00F36DC4">
              <w:rPr>
                <w:rFonts w:eastAsia="Calibri"/>
                <w:sz w:val="24"/>
                <w:lang w:val="uk-UA" w:eastAsia="uk-UA"/>
              </w:rPr>
              <w:t>асника(</w:t>
            </w:r>
            <w:proofErr w:type="spellStart"/>
            <w:r w:rsidR="000B49D8" w:rsidRPr="00F36DC4">
              <w:rPr>
                <w:rFonts w:eastAsia="Calibri"/>
                <w:sz w:val="24"/>
                <w:lang w:val="uk-UA" w:eastAsia="uk-UA"/>
              </w:rPr>
              <w:t>ів</w:t>
            </w:r>
            <w:proofErr w:type="spellEnd"/>
            <w:r w:rsidR="000B49D8" w:rsidRPr="00F36DC4">
              <w:rPr>
                <w:rFonts w:eastAsia="Calibri"/>
                <w:sz w:val="24"/>
                <w:lang w:val="uk-UA" w:eastAsia="uk-UA"/>
              </w:rPr>
              <w:t>)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AE7333"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AE7333"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AE7333"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AE7333"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AE7333"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36DC4" w:rsidRPr="00F36DC4">
              <w:rPr>
                <w:rFonts w:eastAsia="Times New Roman"/>
                <w:sz w:val="24"/>
                <w:lang w:val="uk-UA" w:eastAsia="uk-UA"/>
              </w:rPr>
              <w:t>внести</w:t>
            </w:r>
            <w:proofErr w:type="spellEnd"/>
            <w:r w:rsidR="00F36DC4" w:rsidRPr="00F36DC4">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36DC4" w:rsidRPr="00F36DC4">
              <w:rPr>
                <w:rFonts w:eastAsia="Times New Roman"/>
                <w:sz w:val="24"/>
                <w:lang w:val="uk-UA" w:eastAsia="uk-UA"/>
              </w:rPr>
              <w:t>машинозчитувальному</w:t>
            </w:r>
            <w:proofErr w:type="spellEnd"/>
            <w:r w:rsidR="00F36DC4" w:rsidRPr="00F36DC4">
              <w:rPr>
                <w:rFonts w:eastAsia="Times New Roman"/>
                <w:sz w:val="24"/>
                <w:lang w:val="uk-UA" w:eastAsia="uk-UA"/>
              </w:rPr>
              <w:t xml:space="preserve"> форматі </w:t>
            </w:r>
            <w:r w:rsidR="00F36DC4" w:rsidRPr="00F36DC4">
              <w:rPr>
                <w:rFonts w:eastAsia="Times New Roman"/>
                <w:sz w:val="24"/>
                <w:lang w:val="uk-UA" w:eastAsia="uk-UA"/>
              </w:rPr>
              <w:lastRenderedPageBreak/>
              <w:t>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AE7333"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sidRPr="0072567F">
              <w:rPr>
                <w:rFonts w:eastAsia="Calibri"/>
                <w:sz w:val="24"/>
                <w:lang w:val="uk-UA"/>
              </w:rPr>
              <w:lastRenderedPageBreak/>
              <w:t>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w:t>
            </w:r>
            <w:r w:rsidRPr="0072567F">
              <w:rPr>
                <w:rFonts w:eastAsia="Calibri"/>
                <w:sz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2567F">
              <w:rPr>
                <w:rFonts w:eastAsia="Calibri"/>
                <w:sz w:val="24"/>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2567F">
              <w:rPr>
                <w:rFonts w:eastAsia="Calibri"/>
                <w:sz w:val="24"/>
                <w:lang w:val="uk-UA"/>
              </w:rPr>
              <w:lastRenderedPageBreak/>
              <w:t>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AE7333"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AE7333"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 xml:space="preserve">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AE7333"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AE7333"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AE7333"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AE7333"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AE7333"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2DB600E5"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76AE2">
              <w:rPr>
                <w:rFonts w:eastAsia="Calibri"/>
                <w:b/>
                <w:color w:val="FF0000"/>
                <w:sz w:val="24"/>
                <w:lang w:val="uk-UA"/>
              </w:rPr>
              <w:t>1</w:t>
            </w:r>
            <w:r w:rsidR="00EC7F78">
              <w:rPr>
                <w:rFonts w:eastAsia="Calibri"/>
                <w:b/>
                <w:color w:val="FF0000"/>
                <w:sz w:val="24"/>
                <w:lang w:val="uk-UA"/>
              </w:rPr>
              <w:t>4</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AE7333"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AE7333"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AE7333"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закупівлі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закупівлі,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закупівлі,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закупівлі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AE7333"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0"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AE7333"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AE7333"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AE7333"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AE7333"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AE7333"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w:t>
            </w:r>
            <w:r w:rsidR="00E661A6">
              <w:rPr>
                <w:rFonts w:eastAsia="Times New Roman"/>
                <w:sz w:val="24"/>
                <w:lang w:val="ru-RU" w:eastAsia="ru-RU"/>
              </w:rPr>
              <w:t xml:space="preserve"> </w:t>
            </w:r>
            <w:r w:rsidR="008A61E0" w:rsidRPr="00E34507">
              <w:rPr>
                <w:rFonts w:eastAsia="Times New Roman"/>
                <w:sz w:val="24"/>
                <w:lang w:val="ru-RU" w:eastAsia="ru-RU"/>
              </w:rPr>
              <w:t>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w:t>
            </w:r>
            <w:r w:rsidR="00E661A6">
              <w:rPr>
                <w:rFonts w:eastAsia="Times New Roman"/>
                <w:sz w:val="24"/>
                <w:lang w:val="ru-RU" w:eastAsia="ru-RU"/>
              </w:rPr>
              <w:t>ї</w:t>
            </w:r>
            <w:proofErr w:type="spellEnd"/>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AE7333"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AE7333"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AE7333"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AE7333"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proofErr w:type="spellStart"/>
            <w:r w:rsidR="0072567F" w:rsidRPr="003F1BA7">
              <w:rPr>
                <w:rFonts w:eastAsia="Times New Roman"/>
                <w:sz w:val="20"/>
                <w:szCs w:val="20"/>
                <w:lang w:val="uk-UA" w:eastAsia="ru-RU"/>
              </w:rPr>
              <w:t>Скан</w:t>
            </w:r>
            <w:proofErr w:type="spellEnd"/>
            <w:r w:rsidR="0072567F" w:rsidRPr="003F1BA7">
              <w:rPr>
                <w:rFonts w:eastAsia="Times New Roman"/>
                <w:sz w:val="20"/>
                <w:szCs w:val="20"/>
                <w:lang w:val="uk-UA" w:eastAsia="ru-RU"/>
              </w:rPr>
              <w:t>-копію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AE7333"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7D6D42"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AE7333"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17BC6CF2"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94301C">
        <w:rPr>
          <w:rFonts w:eastAsia="Calibri"/>
          <w:b/>
          <w:bCs/>
          <w:color w:val="FF0000"/>
          <w:sz w:val="24"/>
          <w:lang w:val="uk-UA" w:eastAsia="ru-RU"/>
        </w:rPr>
        <w:t xml:space="preserve"> </w:t>
      </w:r>
      <w:r w:rsidR="007D6D42">
        <w:rPr>
          <w:rFonts w:eastAsia="Calibri"/>
          <w:b/>
          <w:bCs/>
          <w:color w:val="FF0000"/>
          <w:sz w:val="24"/>
          <w:lang w:val="uk-UA" w:eastAsia="ru-RU"/>
        </w:rPr>
        <w:t>36 6</w:t>
      </w:r>
      <w:r w:rsidR="00C40543">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22DD121C" w:rsidR="0072567F" w:rsidRPr="00910C19" w:rsidRDefault="007D6D42" w:rsidP="00CD211D">
            <w:pPr>
              <w:widowControl w:val="0"/>
              <w:spacing w:after="0" w:line="240" w:lineRule="auto"/>
              <w:contextualSpacing/>
              <w:rPr>
                <w:rFonts w:eastAsia="Times New Roman"/>
                <w:i/>
                <w:sz w:val="24"/>
                <w:lang w:val="ru-RU" w:eastAsia="uk-UA"/>
              </w:rPr>
            </w:pPr>
            <w:r w:rsidRPr="007D6D42">
              <w:rPr>
                <w:rFonts w:eastAsia="Times New Roman"/>
                <w:i/>
                <w:sz w:val="24"/>
                <w:lang w:val="uk-UA" w:eastAsia="uk-UA"/>
              </w:rPr>
              <w:t xml:space="preserve">10001, </w:t>
            </w:r>
            <w:proofErr w:type="spellStart"/>
            <w:r w:rsidRPr="007D6D42">
              <w:rPr>
                <w:rFonts w:eastAsia="Times New Roman"/>
                <w:i/>
                <w:sz w:val="24"/>
                <w:lang w:val="uk-UA" w:eastAsia="uk-UA"/>
              </w:rPr>
              <w:t>м.Житомир</w:t>
            </w:r>
            <w:proofErr w:type="spellEnd"/>
            <w:r w:rsidRPr="007D6D42">
              <w:rPr>
                <w:rFonts w:eastAsia="Times New Roman"/>
                <w:i/>
                <w:sz w:val="24"/>
                <w:lang w:val="uk-UA" w:eastAsia="uk-UA"/>
              </w:rPr>
              <w:t>, вул. Вокзальна, 18а</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7FAF0DAB"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7D6D42">
              <w:rPr>
                <w:rFonts w:eastAsia="Times New Roman"/>
                <w:i/>
                <w:color w:val="FF0000"/>
                <w:sz w:val="24"/>
                <w:lang w:val="ru-RU" w:eastAsia="uk-UA"/>
              </w:rPr>
              <w:t>36 6</w:t>
            </w:r>
            <w:r w:rsidR="00C40543">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 xml:space="preserve">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E17048">
        <w:rPr>
          <w:rFonts w:eastAsia="Calibri"/>
          <w:color w:val="000000"/>
          <w:sz w:val="24"/>
          <w:lang w:val="uk-UA"/>
        </w:rPr>
        <w:t>призначеності</w:t>
      </w:r>
      <w:proofErr w:type="spellEnd"/>
      <w:r w:rsidRPr="00E17048">
        <w:rPr>
          <w:rFonts w:eastAsia="Calibri"/>
          <w:color w:val="000000"/>
          <w:sz w:val="24"/>
          <w:lang w:val="uk-UA"/>
        </w:rPr>
        <w:t>»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3D2A76">
        <w:rPr>
          <w:rFonts w:eastAsia="Calibri"/>
          <w:color w:val="000000"/>
          <w:sz w:val="24"/>
          <w:lang w:val="uk-UA" w:eastAsia="ru-RU" w:bidi="en-US"/>
        </w:rPr>
        <w:t>International</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Organization</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for</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Standardization</w:t>
      </w:r>
      <w:proofErr w:type="spellEnd"/>
      <w:r w:rsidRPr="003D2A76">
        <w:rPr>
          <w:rFonts w:eastAsia="Calibri"/>
          <w:color w:val="000000"/>
          <w:sz w:val="24"/>
          <w:lang w:val="uk-UA" w:eastAsia="ru-RU" w:bidi="en-US"/>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AE7333"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1"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xml:space="preserve">,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AE7333"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2AFD" w14:textId="77777777" w:rsidR="004A484B" w:rsidRDefault="004A484B" w:rsidP="00CB41E3">
      <w:pPr>
        <w:spacing w:after="0" w:line="240" w:lineRule="auto"/>
      </w:pPr>
      <w:r>
        <w:separator/>
      </w:r>
    </w:p>
  </w:endnote>
  <w:endnote w:type="continuationSeparator" w:id="0">
    <w:p w14:paraId="5A1AE29E" w14:textId="77777777" w:rsidR="004A484B" w:rsidRDefault="004A484B"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BA1A" w14:textId="77777777" w:rsidR="004A484B" w:rsidRDefault="004A484B" w:rsidP="00CB41E3">
      <w:pPr>
        <w:spacing w:after="0" w:line="240" w:lineRule="auto"/>
      </w:pPr>
      <w:r>
        <w:separator/>
      </w:r>
    </w:p>
  </w:footnote>
  <w:footnote w:type="continuationSeparator" w:id="0">
    <w:p w14:paraId="6C35F60F" w14:textId="77777777" w:rsidR="004A484B" w:rsidRDefault="004A484B"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225B3"/>
    <w:rsid w:val="00080805"/>
    <w:rsid w:val="00087FF6"/>
    <w:rsid w:val="000B49D8"/>
    <w:rsid w:val="000C34C8"/>
    <w:rsid w:val="00107BFC"/>
    <w:rsid w:val="00126D67"/>
    <w:rsid w:val="00127C62"/>
    <w:rsid w:val="00147B5A"/>
    <w:rsid w:val="00170BA1"/>
    <w:rsid w:val="00170D96"/>
    <w:rsid w:val="001A534F"/>
    <w:rsid w:val="001B243A"/>
    <w:rsid w:val="001C7B98"/>
    <w:rsid w:val="001E7928"/>
    <w:rsid w:val="00202B51"/>
    <w:rsid w:val="00214A4D"/>
    <w:rsid w:val="00224B56"/>
    <w:rsid w:val="00244B68"/>
    <w:rsid w:val="00263FB0"/>
    <w:rsid w:val="00264A83"/>
    <w:rsid w:val="00276ED0"/>
    <w:rsid w:val="00294824"/>
    <w:rsid w:val="002A64FE"/>
    <w:rsid w:val="002E679F"/>
    <w:rsid w:val="0031138E"/>
    <w:rsid w:val="00314A65"/>
    <w:rsid w:val="00315E51"/>
    <w:rsid w:val="00331CB0"/>
    <w:rsid w:val="00341B55"/>
    <w:rsid w:val="00361B65"/>
    <w:rsid w:val="00371A81"/>
    <w:rsid w:val="003A06AE"/>
    <w:rsid w:val="003C320A"/>
    <w:rsid w:val="003C47E8"/>
    <w:rsid w:val="003D2A76"/>
    <w:rsid w:val="003F1BA7"/>
    <w:rsid w:val="00402A00"/>
    <w:rsid w:val="00421872"/>
    <w:rsid w:val="00423230"/>
    <w:rsid w:val="00452FAA"/>
    <w:rsid w:val="004629B9"/>
    <w:rsid w:val="00466B05"/>
    <w:rsid w:val="00467970"/>
    <w:rsid w:val="00483924"/>
    <w:rsid w:val="004A484B"/>
    <w:rsid w:val="004D12D3"/>
    <w:rsid w:val="004D21A8"/>
    <w:rsid w:val="004E2424"/>
    <w:rsid w:val="004E52C6"/>
    <w:rsid w:val="004F6FD4"/>
    <w:rsid w:val="005215F7"/>
    <w:rsid w:val="00540D41"/>
    <w:rsid w:val="0055038B"/>
    <w:rsid w:val="00564C72"/>
    <w:rsid w:val="005702CA"/>
    <w:rsid w:val="00577582"/>
    <w:rsid w:val="005A1A84"/>
    <w:rsid w:val="005B13AF"/>
    <w:rsid w:val="005D0F69"/>
    <w:rsid w:val="00611E69"/>
    <w:rsid w:val="00650864"/>
    <w:rsid w:val="00664055"/>
    <w:rsid w:val="00670661"/>
    <w:rsid w:val="00696401"/>
    <w:rsid w:val="006B26C2"/>
    <w:rsid w:val="006C4B9D"/>
    <w:rsid w:val="006D1871"/>
    <w:rsid w:val="006D54F4"/>
    <w:rsid w:val="0072567F"/>
    <w:rsid w:val="00741F4F"/>
    <w:rsid w:val="0075441F"/>
    <w:rsid w:val="0076340E"/>
    <w:rsid w:val="007645E3"/>
    <w:rsid w:val="007938C6"/>
    <w:rsid w:val="007A21AF"/>
    <w:rsid w:val="007B2D40"/>
    <w:rsid w:val="007C0851"/>
    <w:rsid w:val="007D15F9"/>
    <w:rsid w:val="007D2DC0"/>
    <w:rsid w:val="007D6D42"/>
    <w:rsid w:val="007D74C1"/>
    <w:rsid w:val="007E07AA"/>
    <w:rsid w:val="007E250E"/>
    <w:rsid w:val="007E357D"/>
    <w:rsid w:val="007F19E6"/>
    <w:rsid w:val="00803B6C"/>
    <w:rsid w:val="00816F58"/>
    <w:rsid w:val="00820E47"/>
    <w:rsid w:val="008212B8"/>
    <w:rsid w:val="00822C70"/>
    <w:rsid w:val="00824EE2"/>
    <w:rsid w:val="008445C3"/>
    <w:rsid w:val="008525A0"/>
    <w:rsid w:val="00852E92"/>
    <w:rsid w:val="00880DBC"/>
    <w:rsid w:val="008A61E0"/>
    <w:rsid w:val="008B1B34"/>
    <w:rsid w:val="008B281F"/>
    <w:rsid w:val="008B7917"/>
    <w:rsid w:val="008C42CA"/>
    <w:rsid w:val="008C6C03"/>
    <w:rsid w:val="008E2556"/>
    <w:rsid w:val="00910C19"/>
    <w:rsid w:val="00915B33"/>
    <w:rsid w:val="00930F4F"/>
    <w:rsid w:val="00936CCC"/>
    <w:rsid w:val="00941764"/>
    <w:rsid w:val="0094301C"/>
    <w:rsid w:val="00983082"/>
    <w:rsid w:val="00996951"/>
    <w:rsid w:val="009E07B7"/>
    <w:rsid w:val="009E691F"/>
    <w:rsid w:val="009E7C71"/>
    <w:rsid w:val="00A1013D"/>
    <w:rsid w:val="00A10D8D"/>
    <w:rsid w:val="00A116E9"/>
    <w:rsid w:val="00A210FC"/>
    <w:rsid w:val="00A44D4D"/>
    <w:rsid w:val="00A71962"/>
    <w:rsid w:val="00A86862"/>
    <w:rsid w:val="00AB4147"/>
    <w:rsid w:val="00AB7015"/>
    <w:rsid w:val="00AD4968"/>
    <w:rsid w:val="00AD4C91"/>
    <w:rsid w:val="00AD512B"/>
    <w:rsid w:val="00AD574C"/>
    <w:rsid w:val="00AE7333"/>
    <w:rsid w:val="00AF23F0"/>
    <w:rsid w:val="00B123A4"/>
    <w:rsid w:val="00B45458"/>
    <w:rsid w:val="00B46363"/>
    <w:rsid w:val="00B52E9E"/>
    <w:rsid w:val="00BA522F"/>
    <w:rsid w:val="00BB2EE0"/>
    <w:rsid w:val="00BD48D8"/>
    <w:rsid w:val="00BD506A"/>
    <w:rsid w:val="00BF06F0"/>
    <w:rsid w:val="00C234AD"/>
    <w:rsid w:val="00C40543"/>
    <w:rsid w:val="00C447F7"/>
    <w:rsid w:val="00C50DF6"/>
    <w:rsid w:val="00C6249D"/>
    <w:rsid w:val="00C6690E"/>
    <w:rsid w:val="00C712A5"/>
    <w:rsid w:val="00C84F42"/>
    <w:rsid w:val="00C951E4"/>
    <w:rsid w:val="00CB0E0E"/>
    <w:rsid w:val="00CB41E3"/>
    <w:rsid w:val="00CC283C"/>
    <w:rsid w:val="00CD0B28"/>
    <w:rsid w:val="00CD211D"/>
    <w:rsid w:val="00CF70EE"/>
    <w:rsid w:val="00D564AD"/>
    <w:rsid w:val="00D56AE7"/>
    <w:rsid w:val="00D700DC"/>
    <w:rsid w:val="00D717FA"/>
    <w:rsid w:val="00D76AE2"/>
    <w:rsid w:val="00DB07D2"/>
    <w:rsid w:val="00DF6718"/>
    <w:rsid w:val="00E04296"/>
    <w:rsid w:val="00E17048"/>
    <w:rsid w:val="00E22F04"/>
    <w:rsid w:val="00E34507"/>
    <w:rsid w:val="00E43332"/>
    <w:rsid w:val="00E661A6"/>
    <w:rsid w:val="00E944C5"/>
    <w:rsid w:val="00E96524"/>
    <w:rsid w:val="00EA6561"/>
    <w:rsid w:val="00EB7EB1"/>
    <w:rsid w:val="00EC2EF9"/>
    <w:rsid w:val="00EC581A"/>
    <w:rsid w:val="00EC5E56"/>
    <w:rsid w:val="00EC7F78"/>
    <w:rsid w:val="00F01A9F"/>
    <w:rsid w:val="00F11ADF"/>
    <w:rsid w:val="00F12F11"/>
    <w:rsid w:val="00F2486B"/>
    <w:rsid w:val="00F303EE"/>
    <w:rsid w:val="00F365C5"/>
    <w:rsid w:val="00F36DC4"/>
    <w:rsid w:val="00F64A18"/>
    <w:rsid w:val="00F7010C"/>
    <w:rsid w:val="00F77153"/>
    <w:rsid w:val="00FA547F"/>
    <w:rsid w:val="00FC3FB7"/>
    <w:rsid w:val="00FC414B"/>
    <w:rsid w:val="00FC4609"/>
    <w:rsid w:val="00FE3F28"/>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 w:type="character" w:styleId="UnresolvedMention">
    <w:name w:val="Unresolved Mention"/>
    <w:basedOn w:val="DefaultParagraphFont"/>
    <w:uiPriority w:val="99"/>
    <w:semiHidden/>
    <w:unhideWhenUsed/>
    <w:rsid w:val="00A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49</Pages>
  <Words>16304</Words>
  <Characters>112012</Characters>
  <Application>Microsoft Office Word</Application>
  <DocSecurity>0</DocSecurity>
  <Lines>2800</Lines>
  <Paragraphs>923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134</cp:revision>
  <cp:lastPrinted>2022-11-24T10:26:00Z</cp:lastPrinted>
  <dcterms:created xsi:type="dcterms:W3CDTF">2022-11-16T12:59:00Z</dcterms:created>
  <dcterms:modified xsi:type="dcterms:W3CDTF">2023-12-06T20:50:00Z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