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50" w:rsidRPr="00A33814" w:rsidRDefault="006164FA" w:rsidP="00A33814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  <w:r w:rsidR="00A33814" w:rsidRPr="00A33814">
        <w:rPr>
          <w:rFonts w:ascii="Times New Roman" w:hAnsi="Times New Roman"/>
          <w:b/>
          <w:sz w:val="24"/>
          <w:szCs w:val="24"/>
        </w:rPr>
        <w:t xml:space="preserve"> </w:t>
      </w:r>
    </w:p>
    <w:p w:rsidR="00A33814" w:rsidRPr="008E5E20" w:rsidRDefault="00A33814" w:rsidP="008E5E20">
      <w:pPr>
        <w:ind w:left="5245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B063C7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до тендер</w:t>
      </w:r>
      <w:r w:rsidR="008E5E20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ної документації </w:t>
      </w:r>
    </w:p>
    <w:p w:rsidR="008D6250" w:rsidRPr="00C375E7" w:rsidRDefault="008D6250" w:rsidP="008D6250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75E7">
        <w:rPr>
          <w:rFonts w:ascii="Times New Roman" w:hAnsi="Times New Roman"/>
          <w:b/>
          <w:color w:val="000000"/>
          <w:sz w:val="24"/>
          <w:szCs w:val="24"/>
          <w:u w:val="single"/>
        </w:rPr>
        <w:t>Інформація про необхідні технічні, якісні та кількісні характеристики (у т.ч. технічна специфікація)</w:t>
      </w:r>
    </w:p>
    <w:p w:rsidR="008D6250" w:rsidRPr="00C375E7" w:rsidRDefault="008D6250" w:rsidP="0090305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90"/>
        <w:gridCol w:w="1198"/>
        <w:gridCol w:w="5653"/>
      </w:tblGrid>
      <w:tr w:rsidR="008D6250" w:rsidRPr="00C375E7" w:rsidTr="006164FA">
        <w:tc>
          <w:tcPr>
            <w:tcW w:w="704" w:type="dxa"/>
            <w:shd w:val="clear" w:color="auto" w:fill="auto"/>
          </w:tcPr>
          <w:p w:rsidR="008D6250" w:rsidRPr="00C375E7" w:rsidRDefault="008D6250" w:rsidP="00FB036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790" w:type="dxa"/>
            <w:shd w:val="clear" w:color="auto" w:fill="auto"/>
          </w:tcPr>
          <w:p w:rsidR="008D6250" w:rsidRPr="00C375E7" w:rsidRDefault="008D6250" w:rsidP="00FB036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198" w:type="dxa"/>
            <w:shd w:val="clear" w:color="auto" w:fill="auto"/>
          </w:tcPr>
          <w:p w:rsidR="008D6250" w:rsidRPr="00C375E7" w:rsidRDefault="008D6250" w:rsidP="00FB036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5653" w:type="dxa"/>
            <w:shd w:val="clear" w:color="auto" w:fill="auto"/>
          </w:tcPr>
          <w:p w:rsidR="008D6250" w:rsidRPr="00C375E7" w:rsidRDefault="008D6250" w:rsidP="00FB036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hAnsi="Times New Roman"/>
                <w:sz w:val="24"/>
                <w:szCs w:val="24"/>
              </w:rPr>
              <w:t>Вимоги до предмету закупівлі</w:t>
            </w:r>
          </w:p>
        </w:tc>
      </w:tr>
      <w:tr w:rsidR="008D6250" w:rsidRPr="00C375E7" w:rsidTr="006164FA">
        <w:tc>
          <w:tcPr>
            <w:tcW w:w="704" w:type="dxa"/>
            <w:shd w:val="clear" w:color="auto" w:fill="auto"/>
          </w:tcPr>
          <w:p w:rsidR="008D6250" w:rsidRPr="00C375E7" w:rsidRDefault="008D6250" w:rsidP="003B3F55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:rsidR="00706C25" w:rsidRPr="00C375E7" w:rsidRDefault="00A91F2C" w:rsidP="003B3F55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М'ясо свинини</w:t>
            </w:r>
            <w:r w:rsidR="000E7E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свіже охолоджене</w:t>
            </w:r>
            <w:r w:rsidR="000E7E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кістки</w:t>
            </w:r>
          </w:p>
          <w:p w:rsidR="008D6250" w:rsidRPr="00C375E7" w:rsidRDefault="008D6250" w:rsidP="003B3F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8D6250" w:rsidRPr="00C375E7" w:rsidRDefault="00B26F63" w:rsidP="003B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8E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55" w:rsidRPr="00582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250" w:rsidRPr="0058279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653" w:type="dxa"/>
            <w:shd w:val="clear" w:color="auto" w:fill="auto"/>
          </w:tcPr>
          <w:p w:rsidR="008D6250" w:rsidRPr="00C375E7" w:rsidRDefault="008D6250" w:rsidP="00FB0362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ДСТУ 4590:2006 «Напівфабрикати м’ясні натуральні від комплексного ділення свинини за кулінарним призначенням».</w:t>
            </w:r>
          </w:p>
          <w:p w:rsidR="00B4021B" w:rsidRDefault="00B4021B" w:rsidP="00B4021B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категорії</w:t>
            </w:r>
          </w:p>
          <w:p w:rsidR="008D6250" w:rsidRPr="00C375E7" w:rsidRDefault="008D6250" w:rsidP="00B4021B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Характеристика </w:t>
            </w:r>
            <w:r w:rsidR="001E56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</w:t>
            </w:r>
            <w:r w:rsidR="001E56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спинної,  тазостегнової та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лопаткової частин туші</w:t>
            </w:r>
            <w:r w:rsid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видаленою сполучною тканиною</w:t>
            </w:r>
            <w:r w:rsidR="00B4021B" w:rsidRP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без великої кількості жиру, м'ясо </w:t>
            </w:r>
            <w:proofErr w:type="spellStart"/>
            <w:r w:rsidR="00B4021B" w:rsidRP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упруге</w:t>
            </w:r>
            <w:proofErr w:type="spellEnd"/>
            <w:r w:rsidR="00B4021B" w:rsidRP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при натискуванні швидко приймає первинну форму. Не допускаються дрібні шма</w:t>
            </w:r>
            <w:r w:rsidR="00BC1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="00B4021B" w:rsidRP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 та об</w:t>
            </w:r>
            <w:r w:rsidR="00BC1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r w:rsidR="00B4021B" w:rsidRPr="00B402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ізки. 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Із зовнішньої сторони шар сала товщиною не більшою ніж 20 мм.</w:t>
            </w:r>
            <w:r w:rsidR="001E56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кістки.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Поверхня чиста, незавітрена, без </w:t>
            </w:r>
            <w:proofErr w:type="spellStart"/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ослизнювання</w:t>
            </w:r>
            <w:proofErr w:type="spellEnd"/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без бахромок, краї </w:t>
            </w:r>
            <w:proofErr w:type="spellStart"/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зарівняні</w:t>
            </w:r>
            <w:proofErr w:type="spellEnd"/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Глибина надрізів м’язової тканини не більше ніж 10 мм. Колір – від світло-рожевого до червоного. Запах – доброякісного м’яса, без стороннього запаху. </w:t>
            </w:r>
          </w:p>
          <w:p w:rsidR="008D6250" w:rsidRPr="00C375E7" w:rsidRDefault="008D6250" w:rsidP="00FB0362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Свинина </w:t>
            </w:r>
            <w:r w:rsidR="000E7E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свіжа 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охолоджена.</w:t>
            </w:r>
          </w:p>
          <w:p w:rsidR="008D6250" w:rsidRPr="00C375E7" w:rsidRDefault="008D6250" w:rsidP="00FB0362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Транспортування тільки в спеціалізованих автотранспортах, м’ясо повинно мати маркування, т</w:t>
            </w:r>
            <w:r w:rsidRPr="00C375E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ермін придатності від загального терміну зберігання, передбаченого виробником, на час поставки </w:t>
            </w:r>
            <w:r w:rsidR="001E56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менше 9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0% . </w:t>
            </w:r>
          </w:p>
          <w:p w:rsidR="008D6250" w:rsidRPr="00C375E7" w:rsidRDefault="008D6250" w:rsidP="00FB0362">
            <w:pPr>
              <w:spacing w:before="100" w:beforeAutospacing="1" w:after="100" w:afterAutospacing="1"/>
              <w:ind w:left="82" w:hanging="6"/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Маркування включає в себе: назва продукту, назва виробника і його адреса потужності, маса нетто, брутто, г або кг, дані про енергетичну цінність, кінцева дата споживання «Вжити до або дата виробництва та строку придатності, номер партії, </w:t>
            </w:r>
            <w:r w:rsidR="001E56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 позначка стандарту</w:t>
            </w:r>
            <w:r w:rsidR="001F70EB"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D6250" w:rsidRPr="00C375E7" w:rsidTr="006164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50" w:rsidRPr="00C375E7" w:rsidRDefault="00582792" w:rsidP="0070252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25" w:rsidRPr="00C375E7" w:rsidRDefault="00706C25" w:rsidP="0070252B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Філе курине охолоджене</w:t>
            </w:r>
          </w:p>
          <w:p w:rsidR="008D6250" w:rsidRPr="00C375E7" w:rsidRDefault="008D6250" w:rsidP="007025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50" w:rsidRPr="00C375E7" w:rsidRDefault="00B26F63" w:rsidP="00702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6214">
              <w:rPr>
                <w:rFonts w:ascii="Times New Roman" w:hAnsi="Times New Roman"/>
                <w:sz w:val="24"/>
                <w:szCs w:val="24"/>
              </w:rPr>
              <w:t>00</w:t>
            </w:r>
            <w:r w:rsidR="0046755D" w:rsidRPr="0058279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50" w:rsidRPr="00C375E7" w:rsidRDefault="008D6250" w:rsidP="00FB0362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ДСТУ </w:t>
            </w:r>
            <w:r w:rsidR="001A7E58"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3143:2013 М'ясо птиці, (тушки).</w:t>
            </w:r>
          </w:p>
          <w:p w:rsidR="008D6250" w:rsidRPr="00C375E7" w:rsidRDefault="00706C25" w:rsidP="00FB0362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Філе курине </w:t>
            </w:r>
            <w:r w:rsidR="000E7E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свіже </w:t>
            </w:r>
            <w:r w:rsidR="008D6250"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охолоджен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="008D6250"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0378FC" w:rsidRPr="000378FC" w:rsidRDefault="008D6250" w:rsidP="00064B77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Характеристика </w:t>
            </w:r>
            <w:r w:rsidR="001A7E58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філе курине. Поверхня чиста, </w:t>
            </w:r>
            <w:r w:rsidR="000378FC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суха, </w:t>
            </w:r>
            <w:r w:rsidR="001A7E58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незавітрена,</w:t>
            </w:r>
            <w:r w:rsidR="00064B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="00064B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ослизнювання</w:t>
            </w:r>
            <w:proofErr w:type="spellEnd"/>
            <w:r w:rsidR="00064B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без бахромок, б</w:t>
            </w:r>
            <w:r w:rsidR="000378FC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ез згустків крові, жировий  шар не повинен виступати за м’язову тканину більше, ніж на 10мм, без залишків кишечника та репродуктивних органів всередині, без шкіри</w:t>
            </w:r>
            <w:r w:rsidR="00064B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залишок кісток. Обрізи та невеликі шматки не допускаються. </w:t>
            </w:r>
            <w:r w:rsidR="000378FC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Запах - </w:t>
            </w:r>
            <w:r w:rsidR="000378FC" w:rsidRPr="000378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властивий доброякісному м’ясу птиці, без сторонніх запахів</w:t>
            </w:r>
          </w:p>
          <w:p w:rsidR="00064B77" w:rsidRPr="00C375E7" w:rsidRDefault="00064B77" w:rsidP="00064B77">
            <w:pPr>
              <w:spacing w:before="100" w:beforeAutospacing="1" w:after="100" w:afterAutospacing="1"/>
              <w:ind w:left="82" w:hanging="6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Транспортування тільки в спеціалізованих автотранспортах, повинно мати маркування, т</w:t>
            </w:r>
            <w:r w:rsidRPr="00C375E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ермін придатності від загального терміну зберігання, передбаченого виробником, на час поставки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менше 9</w:t>
            </w: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0% . </w:t>
            </w:r>
          </w:p>
          <w:p w:rsidR="008D6250" w:rsidRPr="00C375E7" w:rsidRDefault="00064B77" w:rsidP="00064B7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C375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Маркування включає в себе: назва продукту, назва виробника і його адреса потужності, маса нетто, брутто, г або кг, дані про енергетичну цінність, кінцева дата споживання «Вжити до або дата виробництва та строку придатності</w:t>
            </w:r>
          </w:p>
        </w:tc>
      </w:tr>
    </w:tbl>
    <w:p w:rsidR="008D6250" w:rsidRPr="00C375E7" w:rsidRDefault="008D6250" w:rsidP="008D6250">
      <w:pPr>
        <w:tabs>
          <w:tab w:val="left" w:pos="915"/>
        </w:tabs>
        <w:ind w:left="720"/>
        <w:rPr>
          <w:rFonts w:ascii="Times New Roman" w:hAnsi="Times New Roman"/>
          <w:sz w:val="24"/>
          <w:szCs w:val="24"/>
        </w:rPr>
      </w:pP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  <w:lang w:eastAsia="uk-UA"/>
        </w:rPr>
        <w:t>Товар не містить генетично модифіковані організми (ГМО).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  <w:lang w:eastAsia="ar-SA"/>
        </w:rPr>
        <w:t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доручатимуться для виконання третім особам та будь-які інші витрати необхідні для виконання договору про закупівлю.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</w:rPr>
        <w:t xml:space="preserve"> Учасник забезпечує постачання та розвантаження товару своїми силами</w:t>
      </w:r>
      <w:r w:rsidR="00A33814">
        <w:rPr>
          <w:rFonts w:ascii="Times New Roman" w:hAnsi="Times New Roman"/>
          <w:sz w:val="24"/>
          <w:szCs w:val="24"/>
        </w:rPr>
        <w:t xml:space="preserve"> і за свій рахунок до адреси </w:t>
      </w:r>
      <w:r w:rsidRPr="00C375E7">
        <w:rPr>
          <w:rFonts w:ascii="Times New Roman" w:hAnsi="Times New Roman"/>
          <w:sz w:val="24"/>
          <w:szCs w:val="24"/>
        </w:rPr>
        <w:t xml:space="preserve"> Замовника. 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</w:rPr>
        <w:t xml:space="preserve"> Постачання здійснюється дрібними партіями у кількості відповідно до заявок Замовника. Періодичність постачання залежить від строку придатності предмету закупівлі.</w:t>
      </w:r>
      <w:r w:rsidRPr="00C375E7">
        <w:rPr>
          <w:rFonts w:ascii="Times New Roman" w:hAnsi="Times New Roman"/>
          <w:sz w:val="24"/>
          <w:szCs w:val="24"/>
          <w:lang w:eastAsia="ar-SA"/>
        </w:rPr>
        <w:t xml:space="preserve"> При кожній поставці товару надається товарно-транспортна накладна.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</w:rPr>
        <w:t xml:space="preserve"> Предмет закупівлі постачається у спеціальному транспорті з дотриманням санітарних вимог, в тому числі щодо сумісності продуктів харчування.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</w:rPr>
        <w:t>При поставці кожна партія товару супроводжується декларацією або сертифікатом виробника та ветеринарним свідоцтвом/висновком.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</w:rPr>
      </w:pPr>
      <w:r w:rsidRPr="00C375E7">
        <w:rPr>
          <w:rFonts w:ascii="Times New Roman" w:hAnsi="Times New Roman"/>
          <w:sz w:val="24"/>
          <w:szCs w:val="24"/>
        </w:rPr>
        <w:t>Товар супроводжується товарно-транспортною накладною.</w:t>
      </w:r>
    </w:p>
    <w:p w:rsidR="008D6250" w:rsidRPr="00C375E7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  <w:lang w:eastAsia="ar-SA"/>
        </w:rPr>
      </w:pPr>
      <w:r w:rsidRPr="00C375E7">
        <w:rPr>
          <w:rFonts w:ascii="Times New Roman" w:hAnsi="Times New Roman"/>
          <w:sz w:val="24"/>
          <w:szCs w:val="24"/>
          <w:lang w:eastAsia="ar-SA"/>
        </w:rPr>
        <w:t xml:space="preserve">Учасник постачає предмет закупівлі  </w:t>
      </w:r>
      <w:r w:rsidR="00F90E68">
        <w:rPr>
          <w:rFonts w:ascii="Times New Roman" w:hAnsi="Times New Roman"/>
          <w:sz w:val="24"/>
          <w:szCs w:val="24"/>
          <w:lang w:eastAsia="ar-SA"/>
        </w:rPr>
        <w:t>прот</w:t>
      </w:r>
      <w:r w:rsidR="006164FA">
        <w:rPr>
          <w:rFonts w:ascii="Times New Roman" w:hAnsi="Times New Roman"/>
          <w:sz w:val="24"/>
          <w:szCs w:val="24"/>
          <w:lang w:eastAsia="ar-SA"/>
        </w:rPr>
        <w:t>я</w:t>
      </w:r>
      <w:r w:rsidR="005762A5">
        <w:rPr>
          <w:rFonts w:ascii="Times New Roman" w:hAnsi="Times New Roman"/>
          <w:sz w:val="24"/>
          <w:szCs w:val="24"/>
          <w:lang w:eastAsia="ar-SA"/>
        </w:rPr>
        <w:t>гом поточного року по 31 грудня</w:t>
      </w:r>
      <w:r w:rsidR="006164FA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B26F63">
        <w:rPr>
          <w:rFonts w:ascii="Times New Roman" w:hAnsi="Times New Roman"/>
          <w:sz w:val="24"/>
          <w:szCs w:val="24"/>
          <w:lang w:eastAsia="ar-SA"/>
        </w:rPr>
        <w:t>4</w:t>
      </w:r>
      <w:bookmarkStart w:id="0" w:name="_GoBack"/>
      <w:bookmarkEnd w:id="0"/>
      <w:r w:rsidRPr="00C375E7">
        <w:rPr>
          <w:rFonts w:ascii="Times New Roman" w:hAnsi="Times New Roman"/>
          <w:sz w:val="24"/>
          <w:szCs w:val="24"/>
          <w:lang w:eastAsia="ar-SA"/>
        </w:rPr>
        <w:t xml:space="preserve"> року.</w:t>
      </w:r>
    </w:p>
    <w:p w:rsidR="008D6250" w:rsidRDefault="008D6250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  <w:lang w:eastAsia="ar-SA"/>
        </w:rPr>
      </w:pPr>
      <w:r w:rsidRPr="00C375E7">
        <w:rPr>
          <w:rFonts w:ascii="Times New Roman" w:hAnsi="Times New Roman"/>
          <w:sz w:val="24"/>
          <w:szCs w:val="24"/>
          <w:lang w:eastAsia="ar-SA"/>
        </w:rPr>
        <w:t>Товар повинен бути фасований. На упаковці має бути наклейка з інформацією про товар (стікер). Маркування на зовнішній упаковці Товару повинно включати в себе назву та інформацію про склад, дату виготовлення та термін придатності, номер партії, адресу виробника, інформацію про умови зберігання, тощо.</w:t>
      </w:r>
    </w:p>
    <w:p w:rsidR="00582792" w:rsidRPr="00C375E7" w:rsidRDefault="00582792" w:rsidP="008D6250">
      <w:pPr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Учасник в складі тендерної пропозиції надає довідку про країну походження товару.</w:t>
      </w:r>
    </w:p>
    <w:p w:rsidR="008D6250" w:rsidRPr="00C375E7" w:rsidRDefault="008D6250" w:rsidP="008D6250">
      <w:pPr>
        <w:tabs>
          <w:tab w:val="left" w:pos="915"/>
        </w:tabs>
        <w:ind w:left="720"/>
        <w:rPr>
          <w:rFonts w:ascii="Times New Roman" w:hAnsi="Times New Roman"/>
          <w:sz w:val="24"/>
          <w:szCs w:val="24"/>
        </w:rPr>
      </w:pPr>
    </w:p>
    <w:p w:rsidR="007348C0" w:rsidRPr="00C375E7" w:rsidRDefault="007348C0">
      <w:pPr>
        <w:rPr>
          <w:rFonts w:ascii="Times New Roman" w:hAnsi="Times New Roman"/>
          <w:sz w:val="24"/>
          <w:szCs w:val="24"/>
        </w:rPr>
      </w:pPr>
    </w:p>
    <w:sectPr w:rsidR="007348C0" w:rsidRPr="00C375E7" w:rsidSect="0037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112EB"/>
    <w:multiLevelType w:val="multilevel"/>
    <w:tmpl w:val="008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74EC7"/>
    <w:multiLevelType w:val="multilevel"/>
    <w:tmpl w:val="C9D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27"/>
    <w:rsid w:val="000378FC"/>
    <w:rsid w:val="00052BC6"/>
    <w:rsid w:val="00064B77"/>
    <w:rsid w:val="000E7EE3"/>
    <w:rsid w:val="00137490"/>
    <w:rsid w:val="00161C81"/>
    <w:rsid w:val="001A7E58"/>
    <w:rsid w:val="001E560D"/>
    <w:rsid w:val="001F70EB"/>
    <w:rsid w:val="00272128"/>
    <w:rsid w:val="002E2E89"/>
    <w:rsid w:val="002E6214"/>
    <w:rsid w:val="003329A1"/>
    <w:rsid w:val="00371D6A"/>
    <w:rsid w:val="00396027"/>
    <w:rsid w:val="003B3F55"/>
    <w:rsid w:val="00414837"/>
    <w:rsid w:val="0046755D"/>
    <w:rsid w:val="004B1F9D"/>
    <w:rsid w:val="004F437C"/>
    <w:rsid w:val="00510D79"/>
    <w:rsid w:val="00520D0C"/>
    <w:rsid w:val="00530229"/>
    <w:rsid w:val="00541F4C"/>
    <w:rsid w:val="005762A5"/>
    <w:rsid w:val="00582792"/>
    <w:rsid w:val="005D1B79"/>
    <w:rsid w:val="005D5987"/>
    <w:rsid w:val="005F3E65"/>
    <w:rsid w:val="006164FA"/>
    <w:rsid w:val="00662548"/>
    <w:rsid w:val="006F60C2"/>
    <w:rsid w:val="0070252B"/>
    <w:rsid w:val="00706C25"/>
    <w:rsid w:val="007348C0"/>
    <w:rsid w:val="007D1F9C"/>
    <w:rsid w:val="008727A1"/>
    <w:rsid w:val="008C2E28"/>
    <w:rsid w:val="008D6250"/>
    <w:rsid w:val="008E5E20"/>
    <w:rsid w:val="008F02CA"/>
    <w:rsid w:val="0090305F"/>
    <w:rsid w:val="00943088"/>
    <w:rsid w:val="00966EE1"/>
    <w:rsid w:val="009B1E57"/>
    <w:rsid w:val="009F50E8"/>
    <w:rsid w:val="009F645F"/>
    <w:rsid w:val="00A33814"/>
    <w:rsid w:val="00A91F2C"/>
    <w:rsid w:val="00B26F63"/>
    <w:rsid w:val="00B4021B"/>
    <w:rsid w:val="00BC1FF7"/>
    <w:rsid w:val="00C375E7"/>
    <w:rsid w:val="00D311FF"/>
    <w:rsid w:val="00D35EF5"/>
    <w:rsid w:val="00D61CFB"/>
    <w:rsid w:val="00DB1DEE"/>
    <w:rsid w:val="00DB2D0F"/>
    <w:rsid w:val="00E005FA"/>
    <w:rsid w:val="00E654AD"/>
    <w:rsid w:val="00F32B26"/>
    <w:rsid w:val="00F343C9"/>
    <w:rsid w:val="00F46B84"/>
    <w:rsid w:val="00F90E68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8D71"/>
  <w15:docId w15:val="{0433757C-5148-44A1-8DD1-FB25F34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5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dcterms:created xsi:type="dcterms:W3CDTF">2022-01-05T13:31:00Z</dcterms:created>
  <dcterms:modified xsi:type="dcterms:W3CDTF">2023-12-20T18:28:00Z</dcterms:modified>
</cp:coreProperties>
</file>