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5885" w14:textId="2AEBFED6" w:rsidR="00C70738" w:rsidRPr="001E1AC5" w:rsidRDefault="004E3E99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E1AC5">
        <w:rPr>
          <w:rFonts w:ascii="Times New Roman" w:hAnsi="Times New Roman" w:cs="Times New Roman"/>
          <w:b/>
          <w:bCs/>
          <w:sz w:val="20"/>
          <w:szCs w:val="20"/>
        </w:rPr>
        <w:t xml:space="preserve">Додаток </w:t>
      </w:r>
      <w:r w:rsidR="00DE626F" w:rsidRPr="001E1AC5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3A9C1CFA" w14:textId="77777777" w:rsidR="00F91167" w:rsidRPr="001E1AC5" w:rsidRDefault="00F91167" w:rsidP="00A651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36350727" w14:textId="3E82A451" w:rsidR="007F2A2C" w:rsidRPr="001E1AC5" w:rsidRDefault="007F2A2C" w:rsidP="00A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1E1AC5">
        <w:rPr>
          <w:rFonts w:ascii="Times New Roman" w:hAnsi="Times New Roman" w:cs="Times New Roman"/>
          <w:b/>
          <w:bCs/>
          <w:sz w:val="16"/>
          <w:szCs w:val="16"/>
        </w:rPr>
        <w:t>І.</w:t>
      </w:r>
      <w:r w:rsidRPr="001E1AC5">
        <w:rPr>
          <w:rFonts w:ascii="Times New Roman" w:hAnsi="Times New Roman" w:cs="Times New Roman"/>
          <w:sz w:val="16"/>
          <w:szCs w:val="16"/>
        </w:rPr>
        <w:t xml:space="preserve"> </w:t>
      </w:r>
      <w:r w:rsidRPr="001E1AC5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4675CCF8" w14:textId="6703A433" w:rsidR="007D4719" w:rsidRPr="001E1AC5" w:rsidRDefault="007D4719" w:rsidP="00A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1E1AC5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1E1AC5" w:rsidRPr="001E1AC5" w14:paraId="63A368F3" w14:textId="77777777" w:rsidTr="00A65191">
        <w:trPr>
          <w:jc w:val="center"/>
        </w:trPr>
        <w:tc>
          <w:tcPr>
            <w:tcW w:w="562" w:type="dxa"/>
            <w:vAlign w:val="center"/>
          </w:tcPr>
          <w:p w14:paraId="2B6036DD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25259201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2D5F0269" w14:textId="41C0CAA4" w:rsidR="00A65191" w:rsidRPr="001E1AC5" w:rsidRDefault="00A65191" w:rsidP="00A65191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742CEF12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7ADC7986" w14:textId="369BFA8B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1E1AC5" w:rsidRPr="001E1AC5" w14:paraId="680FAE08" w14:textId="77777777" w:rsidTr="00A65191">
        <w:trPr>
          <w:jc w:val="center"/>
        </w:trPr>
        <w:tc>
          <w:tcPr>
            <w:tcW w:w="562" w:type="dxa"/>
          </w:tcPr>
          <w:p w14:paraId="0EFE1736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44CD196E" w14:textId="77777777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67734632" w14:textId="430CBB31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14:paraId="4C58C7CD" w14:textId="305A52BC" w:rsidR="00A65191" w:rsidRPr="001E1AC5" w:rsidRDefault="00A65191" w:rsidP="00A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E1A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E1AC5" w:rsidRPr="001E1AC5" w14:paraId="436DC693" w14:textId="77777777" w:rsidTr="00A65191">
        <w:trPr>
          <w:jc w:val="center"/>
        </w:trPr>
        <w:tc>
          <w:tcPr>
            <w:tcW w:w="562" w:type="dxa"/>
          </w:tcPr>
          <w:p w14:paraId="3C94667D" w14:textId="77777777" w:rsidR="00A65191" w:rsidRPr="001E1AC5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242C8D5F" w14:textId="77777777" w:rsidR="00A65191" w:rsidRPr="001E1AC5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5D6320C" w14:textId="77777777" w:rsidR="00A65191" w:rsidRPr="001E1AC5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354AF0A5" w14:textId="77777777" w:rsidR="00A65191" w:rsidRPr="001E1AC5" w:rsidRDefault="00A65191" w:rsidP="00A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4C0AC5DC" w14:textId="699BC0F8" w:rsidR="00B01CED" w:rsidRPr="001E1AC5" w:rsidRDefault="00B01CED" w:rsidP="00B01CE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</w:rPr>
        <w:t>1.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1746D685" w14:textId="77777777" w:rsidR="00B01CED" w:rsidRPr="001E1AC5" w:rsidRDefault="00B01CED" w:rsidP="00B01CED">
      <w:pPr>
        <w:tabs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</w:p>
    <w:p w14:paraId="50724507" w14:textId="2AD154EA" w:rsidR="007F2A2C" w:rsidRPr="001E1AC5" w:rsidRDefault="007D4719" w:rsidP="00A6519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E1AC5">
        <w:rPr>
          <w:rFonts w:ascii="Times New Roman" w:hAnsi="Times New Roman"/>
          <w:b/>
          <w:bCs/>
          <w:sz w:val="16"/>
          <w:szCs w:val="16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2694"/>
        <w:gridCol w:w="2268"/>
      </w:tblGrid>
      <w:tr w:rsidR="001E1AC5" w:rsidRPr="001E1AC5" w14:paraId="61D5F762" w14:textId="77777777" w:rsidTr="00A65191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103E" w14:textId="77777777" w:rsidR="00A65191" w:rsidRPr="001E1AC5" w:rsidRDefault="00A65191" w:rsidP="00A6519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75C" w14:textId="77777777" w:rsidR="00A65191" w:rsidRPr="001E1AC5" w:rsidRDefault="00A65191" w:rsidP="00A65191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04A" w14:textId="77777777" w:rsidR="00A65191" w:rsidRPr="001E1AC5" w:rsidRDefault="00A65191" w:rsidP="00A65191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E85" w14:textId="77777777" w:rsidR="00A65191" w:rsidRPr="001E1AC5" w:rsidRDefault="00A65191" w:rsidP="00A65191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187" w14:textId="77777777" w:rsidR="00A65191" w:rsidRPr="001E1AC5" w:rsidRDefault="00A65191" w:rsidP="00A65191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Досвід роботи </w:t>
            </w:r>
          </w:p>
        </w:tc>
      </w:tr>
      <w:tr w:rsidR="001E1AC5" w:rsidRPr="001E1AC5" w14:paraId="00B7A976" w14:textId="77777777" w:rsidTr="00A65191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67CE" w14:textId="77777777" w:rsidR="00A65191" w:rsidRPr="001E1AC5" w:rsidRDefault="00A65191" w:rsidP="00A6519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7AF" w14:textId="77777777" w:rsidR="00A65191" w:rsidRPr="001E1AC5" w:rsidRDefault="00A65191" w:rsidP="00A65191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F2FE" w14:textId="77777777" w:rsidR="00A65191" w:rsidRPr="001E1AC5" w:rsidRDefault="00A65191" w:rsidP="00A65191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983" w14:textId="77777777" w:rsidR="00A65191" w:rsidRPr="001E1AC5" w:rsidRDefault="00A65191" w:rsidP="00A65191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BC1F" w14:textId="77777777" w:rsidR="00A65191" w:rsidRPr="001E1AC5" w:rsidRDefault="00A65191" w:rsidP="00A65191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A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2469F1B3" w14:textId="16D2EC9E" w:rsidR="006F53B3" w:rsidRPr="001E1AC5" w:rsidRDefault="003C692C" w:rsidP="00B01CE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853BC" w:rsidRPr="001E1AC5">
        <w:rPr>
          <w:rFonts w:ascii="Times New Roman" w:hAnsi="Times New Roman"/>
          <w:sz w:val="20"/>
          <w:szCs w:val="20"/>
        </w:rPr>
        <w:t xml:space="preserve">. З метою своєчасного виконання всього об’єму робіт на об’єкті учасник повинен мати в штаті не менше </w:t>
      </w:r>
      <w:r>
        <w:rPr>
          <w:rFonts w:ascii="Times New Roman" w:hAnsi="Times New Roman"/>
          <w:sz w:val="20"/>
          <w:szCs w:val="20"/>
        </w:rPr>
        <w:t>2</w:t>
      </w:r>
      <w:r w:rsidR="004853BC" w:rsidRPr="001E1AC5">
        <w:rPr>
          <w:rFonts w:ascii="Times New Roman" w:hAnsi="Times New Roman"/>
          <w:sz w:val="20"/>
          <w:szCs w:val="20"/>
        </w:rPr>
        <w:t>0 осіб. Наявність працівників підтверджується Податковим розрахунком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І</w:t>
      </w:r>
      <w:r w:rsidR="004853BC" w:rsidRPr="001E1AC5">
        <w:rPr>
          <w:rFonts w:ascii="Times New Roman" w:hAnsi="Times New Roman"/>
          <w:sz w:val="20"/>
          <w:szCs w:val="20"/>
          <w:lang w:val="en-US"/>
        </w:rPr>
        <w:t>V</w:t>
      </w:r>
      <w:r w:rsidR="004853BC" w:rsidRPr="001E1AC5">
        <w:rPr>
          <w:rFonts w:ascii="Times New Roman" w:hAnsi="Times New Roman"/>
          <w:sz w:val="20"/>
          <w:szCs w:val="20"/>
        </w:rPr>
        <w:t>квартал 2022 року або Звітом із праці за І</w:t>
      </w:r>
      <w:r w:rsidR="004853BC" w:rsidRPr="001E1AC5">
        <w:rPr>
          <w:rFonts w:ascii="Times New Roman" w:hAnsi="Times New Roman"/>
          <w:sz w:val="20"/>
          <w:szCs w:val="20"/>
          <w:lang w:val="en-US"/>
        </w:rPr>
        <w:t>V</w:t>
      </w:r>
      <w:r w:rsidR="004853BC" w:rsidRPr="001E1AC5">
        <w:rPr>
          <w:rFonts w:ascii="Times New Roman" w:hAnsi="Times New Roman"/>
          <w:sz w:val="20"/>
          <w:szCs w:val="20"/>
        </w:rPr>
        <w:t xml:space="preserve"> квартал 2022 року, або </w:t>
      </w:r>
      <w:r w:rsidR="00071131">
        <w:rPr>
          <w:rFonts w:ascii="Times New Roman" w:hAnsi="Times New Roman"/>
          <w:sz w:val="20"/>
          <w:szCs w:val="20"/>
        </w:rPr>
        <w:t>лютий 2023</w:t>
      </w:r>
      <w:r w:rsidR="004853BC" w:rsidRPr="001E1AC5">
        <w:rPr>
          <w:rFonts w:ascii="Times New Roman" w:hAnsi="Times New Roman"/>
          <w:sz w:val="20"/>
          <w:szCs w:val="20"/>
        </w:rPr>
        <w:t xml:space="preserve"> року.</w:t>
      </w:r>
    </w:p>
    <w:p w14:paraId="6E9C31C5" w14:textId="77777777" w:rsidR="004853BC" w:rsidRPr="001E1AC5" w:rsidRDefault="004853BC" w:rsidP="004853B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D7256A2" w14:textId="2592B470" w:rsidR="006F53B3" w:rsidRPr="001E1AC5" w:rsidRDefault="006F53B3" w:rsidP="006906E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E1AC5">
        <w:rPr>
          <w:rFonts w:ascii="Times New Roman" w:hAnsi="Times New Roman"/>
          <w:sz w:val="16"/>
          <w:szCs w:val="16"/>
          <w:lang w:val="uk-UA"/>
        </w:rPr>
        <w:t xml:space="preserve">ІІІ. </w:t>
      </w:r>
      <w:r w:rsidRPr="001E1AC5">
        <w:rPr>
          <w:rFonts w:ascii="Times New Roman" w:hAnsi="Times New Roman"/>
          <w:b/>
          <w:bCs/>
          <w:sz w:val="16"/>
          <w:szCs w:val="16"/>
          <w:lang w:val="uk-UA"/>
        </w:rPr>
        <w:t>Наявність документально підтвердженого досвіду виконання аналогіч</w:t>
      </w:r>
      <w:r w:rsidR="001E1AC5">
        <w:rPr>
          <w:rFonts w:ascii="Times New Roman" w:hAnsi="Times New Roman"/>
          <w:b/>
          <w:bCs/>
          <w:sz w:val="16"/>
          <w:szCs w:val="16"/>
          <w:lang w:val="uk-UA"/>
        </w:rPr>
        <w:t>ного</w:t>
      </w:r>
      <w:r w:rsidRPr="001E1AC5">
        <w:rPr>
          <w:rFonts w:ascii="Times New Roman" w:hAnsi="Times New Roman"/>
          <w:b/>
          <w:bCs/>
          <w:sz w:val="16"/>
          <w:szCs w:val="16"/>
          <w:lang w:val="uk-UA"/>
        </w:rPr>
        <w:t xml:space="preserve"> за предметом закупівлі договор</w:t>
      </w:r>
      <w:r w:rsidR="001E1AC5">
        <w:rPr>
          <w:rFonts w:ascii="Times New Roman" w:hAnsi="Times New Roman"/>
          <w:b/>
          <w:bCs/>
          <w:sz w:val="16"/>
          <w:szCs w:val="16"/>
          <w:lang w:val="uk-UA"/>
        </w:rPr>
        <w:t>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3196"/>
        <w:gridCol w:w="2075"/>
        <w:gridCol w:w="1290"/>
        <w:gridCol w:w="1340"/>
        <w:gridCol w:w="1215"/>
      </w:tblGrid>
      <w:tr w:rsidR="001E1AC5" w:rsidRPr="001E1AC5" w14:paraId="539FD281" w14:textId="1C404691" w:rsidTr="00A65191">
        <w:trPr>
          <w:trHeight w:val="162"/>
        </w:trPr>
        <w:tc>
          <w:tcPr>
            <w:tcW w:w="438" w:type="dxa"/>
          </w:tcPr>
          <w:p w14:paraId="101A14E2" w14:textId="3D1DD3C1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96" w:type="dxa"/>
          </w:tcPr>
          <w:p w14:paraId="13B6CE05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Найменування замовника, його адреса, </w:t>
            </w:r>
          </w:p>
          <w:p w14:paraId="643707B8" w14:textId="4B804A7F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14:paraId="5A949A60" w14:textId="5DBABC19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14:paraId="69FCF22D" w14:textId="60903A99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71E17765" w14:textId="73E45DA0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68DFDA0D" w14:textId="5653DB94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Стан виконання</w:t>
            </w:r>
          </w:p>
        </w:tc>
      </w:tr>
      <w:tr w:rsidR="001E1AC5" w:rsidRPr="001E1AC5" w14:paraId="48EB2F2D" w14:textId="66E0819E" w:rsidTr="00A65191">
        <w:trPr>
          <w:trHeight w:val="263"/>
        </w:trPr>
        <w:tc>
          <w:tcPr>
            <w:tcW w:w="438" w:type="dxa"/>
          </w:tcPr>
          <w:p w14:paraId="13268C90" w14:textId="42F9E11D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1E1AC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1.</w:t>
            </w:r>
          </w:p>
        </w:tc>
        <w:tc>
          <w:tcPr>
            <w:tcW w:w="3196" w:type="dxa"/>
          </w:tcPr>
          <w:p w14:paraId="76E4FD53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75" w:type="dxa"/>
          </w:tcPr>
          <w:p w14:paraId="7C97CEC4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</w:tcPr>
          <w:p w14:paraId="7EB620C2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0" w:type="dxa"/>
          </w:tcPr>
          <w:p w14:paraId="52F192D2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5" w:type="dxa"/>
          </w:tcPr>
          <w:p w14:paraId="4DD983EE" w14:textId="77777777" w:rsidR="006F53B3" w:rsidRPr="001E1AC5" w:rsidRDefault="006F53B3" w:rsidP="00A6519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5CA8BBEC" w14:textId="6AF029C7" w:rsidR="001E1AC5" w:rsidRPr="006F53B3" w:rsidRDefault="00DC7213" w:rsidP="003C692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E1AC5">
        <w:rPr>
          <w:rFonts w:ascii="Times New Roman" w:hAnsi="Times New Roman"/>
          <w:b/>
          <w:bCs/>
          <w:sz w:val="20"/>
          <w:szCs w:val="20"/>
          <w:lang w:val="uk-UA"/>
        </w:rPr>
        <w:t xml:space="preserve">1. </w:t>
      </w:r>
      <w:r w:rsidRPr="001E1AC5">
        <w:rPr>
          <w:rFonts w:ascii="Times New Roman" w:hAnsi="Times New Roman"/>
          <w:sz w:val="20"/>
          <w:szCs w:val="20"/>
          <w:lang w:val="uk-UA"/>
        </w:rPr>
        <w:t>На підтвердження інформації зазначеної у довідці учасник надає копі</w:t>
      </w:r>
      <w:r w:rsidR="003C692C">
        <w:rPr>
          <w:rFonts w:ascii="Times New Roman" w:hAnsi="Times New Roman"/>
          <w:sz w:val="20"/>
          <w:szCs w:val="20"/>
          <w:lang w:val="uk-UA"/>
        </w:rPr>
        <w:t>ю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аналогічн</w:t>
      </w:r>
      <w:r w:rsidR="003C692C">
        <w:rPr>
          <w:rFonts w:ascii="Times New Roman" w:hAnsi="Times New Roman"/>
          <w:sz w:val="20"/>
          <w:szCs w:val="20"/>
          <w:lang w:val="uk-UA"/>
        </w:rPr>
        <w:t xml:space="preserve">ого </w:t>
      </w:r>
      <w:r w:rsidRPr="001E1AC5">
        <w:rPr>
          <w:rFonts w:ascii="Times New Roman" w:hAnsi="Times New Roman"/>
          <w:sz w:val="20"/>
          <w:szCs w:val="20"/>
          <w:lang w:val="uk-UA"/>
        </w:rPr>
        <w:t>договор</w:t>
      </w:r>
      <w:r w:rsidR="003C692C">
        <w:rPr>
          <w:rFonts w:ascii="Times New Roman" w:hAnsi="Times New Roman"/>
          <w:sz w:val="20"/>
          <w:szCs w:val="20"/>
          <w:lang w:val="uk-UA"/>
        </w:rPr>
        <w:t>у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підряду*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 xml:space="preserve"> (без додатків та додаткових угод)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та </w:t>
      </w:r>
      <w:r w:rsidR="006F53B3" w:rsidRPr="001E1AC5">
        <w:rPr>
          <w:rFonts w:ascii="Times New Roman" w:hAnsi="Times New Roman"/>
          <w:sz w:val="20"/>
          <w:szCs w:val="20"/>
          <w:lang w:val="uk-UA"/>
        </w:rPr>
        <w:t>докумен</w:t>
      </w:r>
      <w:r w:rsidRPr="001E1AC5">
        <w:rPr>
          <w:rFonts w:ascii="Times New Roman" w:hAnsi="Times New Roman"/>
          <w:sz w:val="20"/>
          <w:szCs w:val="20"/>
          <w:lang w:val="uk-UA"/>
        </w:rPr>
        <w:t>т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>ів</w:t>
      </w:r>
      <w:r w:rsidR="006F53B3" w:rsidRPr="001E1AC5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>що згідно з будівельними нормами підтверджують прийняття замовником виконаних учасником будівельних робіт –</w:t>
      </w:r>
      <w:r w:rsidR="003C692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>остання ПФ №КБ-3 із підписами та печатками Замовника</w:t>
      </w:r>
      <w:r w:rsidR="006906E4" w:rsidRPr="001E1AC5">
        <w:rPr>
          <w:rFonts w:ascii="Times New Roman" w:hAnsi="Times New Roman"/>
          <w:sz w:val="20"/>
          <w:szCs w:val="20"/>
          <w:lang w:val="uk-UA"/>
        </w:rPr>
        <w:t xml:space="preserve"> та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 xml:space="preserve"> відгук від замовника будівництва</w:t>
      </w:r>
      <w:r w:rsidR="006906E4" w:rsidRPr="001E1AC5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818E6" w:rsidRPr="001E1AC5">
        <w:rPr>
          <w:rFonts w:ascii="Times New Roman" w:hAnsi="Times New Roman"/>
          <w:sz w:val="20"/>
          <w:szCs w:val="20"/>
          <w:lang w:val="uk-UA"/>
        </w:rPr>
        <w:t xml:space="preserve">що виданий не раніше дати оголошення даної закупівлі, </w:t>
      </w:r>
      <w:r w:rsidR="006906E4" w:rsidRPr="001E1AC5">
        <w:rPr>
          <w:rFonts w:ascii="Times New Roman" w:hAnsi="Times New Roman"/>
          <w:sz w:val="20"/>
          <w:szCs w:val="20"/>
          <w:lang w:val="uk-UA"/>
        </w:rPr>
        <w:t>який повинен містити інформацію про якість виконаних робіт, термін виконання робіт, номер договору, дату договору</w:t>
      </w:r>
      <w:r w:rsidR="002439C5" w:rsidRPr="001E1AC5">
        <w:rPr>
          <w:rFonts w:ascii="Times New Roman" w:hAnsi="Times New Roman"/>
          <w:sz w:val="20"/>
          <w:szCs w:val="20"/>
          <w:lang w:val="uk-UA"/>
        </w:rPr>
        <w:t>,</w:t>
      </w:r>
      <w:r w:rsidR="006906E4" w:rsidRPr="001E1AC5">
        <w:rPr>
          <w:rFonts w:ascii="Times New Roman" w:hAnsi="Times New Roman"/>
          <w:sz w:val="20"/>
          <w:szCs w:val="20"/>
          <w:lang w:val="uk-UA"/>
        </w:rPr>
        <w:t xml:space="preserve"> суму укладеного договору та суму оплачених </w:t>
      </w:r>
      <w:r w:rsidR="00A65191" w:rsidRPr="001E1AC5">
        <w:rPr>
          <w:rFonts w:ascii="Times New Roman" w:hAnsi="Times New Roman"/>
          <w:sz w:val="20"/>
          <w:szCs w:val="20"/>
          <w:lang w:val="uk-UA"/>
        </w:rPr>
        <w:t>будівельних робіт</w:t>
      </w:r>
      <w:r w:rsidR="006F53B3" w:rsidRPr="001E1AC5">
        <w:rPr>
          <w:rFonts w:ascii="Times New Roman" w:hAnsi="Times New Roman"/>
          <w:sz w:val="20"/>
          <w:szCs w:val="20"/>
          <w:lang w:val="uk-UA"/>
        </w:rPr>
        <w:t>.</w:t>
      </w:r>
      <w:r w:rsidR="001E1AC5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3F3FD529" w14:textId="029F458D" w:rsidR="00B01CED" w:rsidRPr="001E1AC5" w:rsidRDefault="00071131" w:rsidP="003C692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Загальна в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>артість укладен</w:t>
      </w:r>
      <w:r w:rsidR="00A259DB">
        <w:rPr>
          <w:rFonts w:ascii="Times New Roman" w:hAnsi="Times New Roman"/>
          <w:sz w:val="20"/>
          <w:szCs w:val="20"/>
          <w:lang w:val="uk-UA"/>
        </w:rPr>
        <w:t>ого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 xml:space="preserve"> аналогічн</w:t>
      </w:r>
      <w:r w:rsidR="00A259DB">
        <w:rPr>
          <w:rFonts w:ascii="Times New Roman" w:hAnsi="Times New Roman"/>
          <w:sz w:val="20"/>
          <w:szCs w:val="20"/>
          <w:lang w:val="uk-UA"/>
        </w:rPr>
        <w:t>ого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A259DB">
        <w:rPr>
          <w:rFonts w:ascii="Times New Roman" w:hAnsi="Times New Roman"/>
          <w:sz w:val="20"/>
          <w:szCs w:val="20"/>
          <w:lang w:val="uk-UA"/>
        </w:rPr>
        <w:t>у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>, надан</w:t>
      </w:r>
      <w:r w:rsidR="00A259DB">
        <w:rPr>
          <w:rFonts w:ascii="Times New Roman" w:hAnsi="Times New Roman"/>
          <w:sz w:val="20"/>
          <w:szCs w:val="20"/>
          <w:lang w:val="uk-UA"/>
        </w:rPr>
        <w:t>ого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 xml:space="preserve"> у складі тендерної пропозиції, повинна бути не меншою аніж </w:t>
      </w:r>
      <w:r w:rsidR="00A259DB">
        <w:rPr>
          <w:rFonts w:ascii="Times New Roman" w:hAnsi="Times New Roman"/>
          <w:sz w:val="20"/>
          <w:szCs w:val="20"/>
          <w:lang w:val="uk-UA"/>
        </w:rPr>
        <w:t>10</w:t>
      </w:r>
      <w:r w:rsidR="00B01CED" w:rsidRPr="001E1AC5">
        <w:rPr>
          <w:rFonts w:ascii="Times New Roman" w:hAnsi="Times New Roman"/>
          <w:sz w:val="20"/>
          <w:szCs w:val="20"/>
          <w:lang w:val="uk-UA"/>
        </w:rPr>
        <w:t>0% розміру очікуваної вартості даної закупівлі.</w:t>
      </w:r>
    </w:p>
    <w:p w14:paraId="0EE16A14" w14:textId="5E7420B0" w:rsidR="00B01CED" w:rsidRPr="001E1AC5" w:rsidRDefault="00B01CED" w:rsidP="003C692C">
      <w:pPr>
        <w:pStyle w:val="21"/>
        <w:spacing w:after="0" w:line="240" w:lineRule="auto"/>
        <w:ind w:left="-54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* Під аналогічним договор</w:t>
      </w:r>
      <w:r w:rsidR="001E1AC5">
        <w:rPr>
          <w:rFonts w:ascii="Times New Roman" w:hAnsi="Times New Roman"/>
          <w:sz w:val="20"/>
          <w:szCs w:val="20"/>
          <w:lang w:val="uk-UA"/>
        </w:rPr>
        <w:t>ом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згідно умов тендерної документації необхідно розуміти догов</w:t>
      </w:r>
      <w:r w:rsidR="001E1AC5">
        <w:rPr>
          <w:rFonts w:ascii="Times New Roman" w:hAnsi="Times New Roman"/>
          <w:sz w:val="20"/>
          <w:szCs w:val="20"/>
          <w:lang w:val="uk-UA"/>
        </w:rPr>
        <w:t>ір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щодо виконання робіт із капітального ремонту</w:t>
      </w:r>
      <w:r w:rsidR="00A259DB">
        <w:rPr>
          <w:rFonts w:ascii="Times New Roman" w:hAnsi="Times New Roman"/>
          <w:sz w:val="20"/>
          <w:szCs w:val="20"/>
          <w:lang w:val="uk-UA"/>
        </w:rPr>
        <w:t>.</w:t>
      </w:r>
    </w:p>
    <w:p w14:paraId="40B124E6" w14:textId="6EC39289" w:rsidR="00D67787" w:rsidRPr="001E1AC5" w:rsidRDefault="00D67787" w:rsidP="003C692C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1E1AC5">
        <w:rPr>
          <w:rFonts w:ascii="Times New Roman" w:hAnsi="Times New Roman"/>
          <w:b/>
          <w:bCs/>
          <w:sz w:val="20"/>
          <w:szCs w:val="20"/>
          <w:lang w:val="uk-UA"/>
        </w:rPr>
        <w:t>2.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Учасник закупівлі повинен підтвердити обсяг виконаних (реалізованих) будівельно – монтажних робіт за</w:t>
      </w:r>
      <w:r w:rsidR="006C7404" w:rsidRPr="001E1AC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259DB">
        <w:rPr>
          <w:rFonts w:ascii="Times New Roman" w:hAnsi="Times New Roman"/>
          <w:sz w:val="20"/>
          <w:szCs w:val="20"/>
          <w:lang w:val="uk-UA"/>
        </w:rPr>
        <w:t>2021-</w:t>
      </w:r>
      <w:r w:rsidR="00071131">
        <w:rPr>
          <w:rFonts w:ascii="Times New Roman" w:hAnsi="Times New Roman"/>
          <w:sz w:val="20"/>
          <w:szCs w:val="20"/>
          <w:lang w:val="uk-UA"/>
        </w:rPr>
        <w:t>2022 р</w:t>
      </w:r>
      <w:r w:rsidR="00A259DB">
        <w:rPr>
          <w:rFonts w:ascii="Times New Roman" w:hAnsi="Times New Roman"/>
          <w:sz w:val="20"/>
          <w:szCs w:val="20"/>
          <w:lang w:val="uk-UA"/>
        </w:rPr>
        <w:t>оки</w:t>
      </w:r>
      <w:r w:rsidR="006C7404" w:rsidRPr="001E1AC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в обсязі не менше </w:t>
      </w:r>
      <w:r w:rsidR="00A259DB">
        <w:rPr>
          <w:rFonts w:ascii="Times New Roman" w:hAnsi="Times New Roman"/>
          <w:sz w:val="20"/>
          <w:szCs w:val="20"/>
          <w:lang w:val="uk-UA"/>
        </w:rPr>
        <w:t>5</w:t>
      </w:r>
      <w:r w:rsidR="00071131">
        <w:rPr>
          <w:rFonts w:ascii="Times New Roman" w:hAnsi="Times New Roman"/>
          <w:sz w:val="20"/>
          <w:szCs w:val="20"/>
          <w:lang w:val="uk-UA"/>
        </w:rPr>
        <w:t>0</w:t>
      </w:r>
      <w:r w:rsidRPr="001E1AC5">
        <w:rPr>
          <w:rFonts w:ascii="Times New Roman" w:hAnsi="Times New Roman"/>
          <w:sz w:val="20"/>
          <w:szCs w:val="20"/>
          <w:lang w:val="uk-UA"/>
        </w:rPr>
        <w:t xml:space="preserve"> млн. грн</w:t>
      </w:r>
      <w:r w:rsidR="00A259D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E1AC5">
        <w:rPr>
          <w:rFonts w:ascii="Times New Roman" w:hAnsi="Times New Roman"/>
          <w:sz w:val="20"/>
          <w:szCs w:val="20"/>
          <w:lang w:val="uk-UA"/>
        </w:rPr>
        <w:t>(на підтвердження надати звітність за формою № 1-кб (місячна) із підтверджуючою інформацією про отримання вказаної звітності уповноваженим органом).</w:t>
      </w:r>
      <w:r w:rsidRPr="001E1AC5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14:paraId="4AEDB33C" w14:textId="1C01D92B" w:rsidR="00B01CED" w:rsidRPr="001E1AC5" w:rsidRDefault="00B01CED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159F2DE6" w14:textId="5FAB7C57" w:rsidR="00B01CED" w:rsidRPr="001E1AC5" w:rsidRDefault="00B01CED" w:rsidP="00B01CE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E1AC5">
        <w:rPr>
          <w:rFonts w:ascii="Times New Roman" w:hAnsi="Times New Roman"/>
          <w:sz w:val="16"/>
          <w:szCs w:val="16"/>
          <w:lang w:val="uk-UA"/>
        </w:rPr>
        <w:t>І</w:t>
      </w:r>
      <w:r w:rsidRPr="001E1AC5">
        <w:rPr>
          <w:rFonts w:ascii="Times New Roman" w:hAnsi="Times New Roman"/>
          <w:sz w:val="16"/>
          <w:szCs w:val="16"/>
          <w:lang w:val="en-US"/>
        </w:rPr>
        <w:t>V</w:t>
      </w:r>
      <w:r w:rsidRPr="001E1AC5">
        <w:rPr>
          <w:rFonts w:ascii="Times New Roman" w:hAnsi="Times New Roman"/>
          <w:sz w:val="16"/>
          <w:szCs w:val="16"/>
          <w:lang w:val="uk-UA"/>
        </w:rPr>
        <w:t xml:space="preserve">. </w:t>
      </w:r>
      <w:r w:rsidRPr="001E1AC5">
        <w:rPr>
          <w:rFonts w:ascii="Times New Roman" w:hAnsi="Times New Roman"/>
          <w:b/>
          <w:bCs/>
          <w:sz w:val="16"/>
          <w:szCs w:val="16"/>
          <w:lang w:val="uk-UA"/>
        </w:rPr>
        <w:t>Наявність фінансової спроможності</w:t>
      </w:r>
    </w:p>
    <w:p w14:paraId="134FEA33" w14:textId="6F03BAA2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A259DB">
        <w:rPr>
          <w:rFonts w:ascii="Times New Roman" w:hAnsi="Times New Roman"/>
          <w:sz w:val="20"/>
          <w:szCs w:val="20"/>
          <w:lang w:val="uk-UA"/>
        </w:rPr>
        <w:t xml:space="preserve">4 </w:t>
      </w:r>
      <w:r w:rsidRPr="001E1AC5">
        <w:rPr>
          <w:rFonts w:ascii="Times New Roman" w:hAnsi="Times New Roman"/>
          <w:sz w:val="20"/>
          <w:szCs w:val="20"/>
          <w:lang w:val="uk-UA"/>
        </w:rPr>
        <w:t>млн. грн. Чистий дохід від реалізації продукції (товарів, робіт, послуг) за 2022 рік підтверджується наступними документами:</w:t>
      </w:r>
    </w:p>
    <w:p w14:paraId="7BD8617E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37211D1A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0C6651E1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4C5FD9A3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42D2533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22F8C6FB" w14:textId="77777777" w:rsidR="00B01CED" w:rsidRPr="001E1AC5" w:rsidRDefault="00B01CED" w:rsidP="00B01CED">
      <w:pPr>
        <w:pStyle w:val="21"/>
        <w:spacing w:after="0" w:line="240" w:lineRule="auto"/>
        <w:ind w:left="0" w:firstLine="269"/>
        <w:jc w:val="both"/>
        <w:rPr>
          <w:rFonts w:ascii="Times New Roman" w:hAnsi="Times New Roman"/>
          <w:sz w:val="20"/>
          <w:szCs w:val="20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0DF50E55" w14:textId="75B6741A" w:rsidR="00B01CED" w:rsidRDefault="00B01CED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1E1AC5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7391030D" w14:textId="1D2F026F" w:rsidR="008C656A" w:rsidRDefault="008C656A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2F7D27C7" w14:textId="4123AEE5" w:rsidR="008C656A" w:rsidRPr="008C656A" w:rsidRDefault="008C656A" w:rsidP="00B01CE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8C656A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8C656A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71131"/>
    <w:rsid w:val="000818E6"/>
    <w:rsid w:val="0011224F"/>
    <w:rsid w:val="001B2A0F"/>
    <w:rsid w:val="001E1AC5"/>
    <w:rsid w:val="002439C5"/>
    <w:rsid w:val="002A7411"/>
    <w:rsid w:val="00320209"/>
    <w:rsid w:val="003719CB"/>
    <w:rsid w:val="0038670F"/>
    <w:rsid w:val="003C692C"/>
    <w:rsid w:val="004853BC"/>
    <w:rsid w:val="004E3E99"/>
    <w:rsid w:val="006906E4"/>
    <w:rsid w:val="006C7404"/>
    <w:rsid w:val="006D223E"/>
    <w:rsid w:val="006F53B3"/>
    <w:rsid w:val="007D4719"/>
    <w:rsid w:val="007E5656"/>
    <w:rsid w:val="007F2A2C"/>
    <w:rsid w:val="008C656A"/>
    <w:rsid w:val="009565E4"/>
    <w:rsid w:val="00A259DB"/>
    <w:rsid w:val="00A65191"/>
    <w:rsid w:val="00A85D3B"/>
    <w:rsid w:val="00B01CED"/>
    <w:rsid w:val="00B94F61"/>
    <w:rsid w:val="00BF58B0"/>
    <w:rsid w:val="00C466B9"/>
    <w:rsid w:val="00C70738"/>
    <w:rsid w:val="00D67787"/>
    <w:rsid w:val="00D971B6"/>
    <w:rsid w:val="00DC7213"/>
    <w:rsid w:val="00DE626F"/>
    <w:rsid w:val="00F57F7B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075B-6876-460C-A883-5935A89C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2447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39</cp:revision>
  <cp:lastPrinted>2023-01-02T10:26:00Z</cp:lastPrinted>
  <dcterms:created xsi:type="dcterms:W3CDTF">2022-12-02T12:39:00Z</dcterms:created>
  <dcterms:modified xsi:type="dcterms:W3CDTF">2023-03-29T15:43:00Z</dcterms:modified>
</cp:coreProperties>
</file>