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0103FAED"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3E2256">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A8D4014"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E021FA">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6E9A9EE0"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Pr="00667341"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 xml:space="preserve">2.8.Товар повинен бути упакований Постачальником у такий спосіб, щоб виключити його пошкодження або знищення при транспортуванні. Тара – картонні ящики або </w:t>
      </w:r>
      <w:proofErr w:type="spellStart"/>
      <w:r w:rsidRPr="00667341">
        <w:rPr>
          <w:rFonts w:ascii="Arial" w:hAnsi="Arial" w:cs="Arial"/>
          <w:color w:val="000000"/>
          <w:sz w:val="22"/>
          <w:szCs w:val="22"/>
          <w:shd w:val="clear" w:color="auto" w:fill="FFFFFF"/>
          <w:lang w:val="uk-UA"/>
        </w:rPr>
        <w:t>палети</w:t>
      </w:r>
      <w:proofErr w:type="spellEnd"/>
      <w:r w:rsidRPr="00667341">
        <w:rPr>
          <w:rFonts w:ascii="Arial" w:hAnsi="Arial" w:cs="Arial"/>
          <w:color w:val="000000"/>
          <w:sz w:val="22"/>
          <w:szCs w:val="22"/>
          <w:shd w:val="clear" w:color="auto" w:fill="FFFFFF"/>
          <w:lang w:val="uk-UA"/>
        </w:rPr>
        <w:t>,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2206C431"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Pr="00667341">
        <w:rPr>
          <w:rFonts w:ascii="Arial" w:eastAsia="Times New Roman" w:hAnsi="Arial" w:cs="Arial"/>
          <w:color w:val="000000"/>
          <w:sz w:val="22"/>
          <w:szCs w:val="22"/>
          <w:lang w:val="uk-UA" w:eastAsia="uk-UA"/>
        </w:rPr>
        <w:t>10-ти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24B2A64A" w14:textId="13BFB086" w:rsidR="0009498C" w:rsidRPr="00520BC2" w:rsidRDefault="0009498C" w:rsidP="0009498C">
      <w:pPr>
        <w:widowControl w:val="0"/>
        <w:suppressAutoHyphens/>
        <w:autoSpaceDE w:val="0"/>
        <w:ind w:firstLine="709"/>
        <w:jc w:val="both"/>
        <w:rPr>
          <w:rFonts w:ascii="Arial" w:eastAsia="SimSun" w:hAnsi="Arial" w:cs="Arial"/>
          <w:color w:val="000000"/>
          <w:spacing w:val="-6"/>
          <w:sz w:val="22"/>
          <w:szCs w:val="22"/>
          <w:lang w:val="uk-UA" w:eastAsia="zh-CN"/>
        </w:rPr>
      </w:pPr>
      <w:r w:rsidRPr="0009498C">
        <w:rPr>
          <w:rFonts w:ascii="Arial" w:eastAsia="SimSun" w:hAnsi="Arial" w:cs="Arial"/>
          <w:color w:val="000000"/>
          <w:spacing w:val="-6"/>
          <w:sz w:val="22"/>
          <w:szCs w:val="22"/>
          <w:lang w:val="uk-UA" w:eastAsia="zh-CN"/>
        </w:rPr>
        <w:t xml:space="preserve">3.6. </w:t>
      </w:r>
      <w:r w:rsidRPr="00520BC2">
        <w:rPr>
          <w:rFonts w:ascii="Arial" w:eastAsia="SimSun" w:hAnsi="Arial" w:cs="Arial"/>
          <w:color w:val="000000"/>
          <w:spacing w:val="-6"/>
          <w:sz w:val="22"/>
          <w:szCs w:val="22"/>
          <w:lang w:val="uk-UA" w:eastAsia="zh-CN"/>
        </w:rPr>
        <w:t>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w:t>
      </w:r>
    </w:p>
    <w:p w14:paraId="74A21C1A" w14:textId="630B62AA" w:rsidR="0009498C" w:rsidRPr="00520BC2" w:rsidRDefault="0009498C" w:rsidP="0009498C">
      <w:pPr>
        <w:widowControl w:val="0"/>
        <w:suppressAutoHyphens/>
        <w:autoSpaceDE w:val="0"/>
        <w:ind w:firstLine="709"/>
        <w:jc w:val="both"/>
        <w:rPr>
          <w:rFonts w:ascii="Arial" w:eastAsia="SimSun" w:hAnsi="Arial" w:cs="Arial"/>
          <w:color w:val="000000"/>
          <w:spacing w:val="-6"/>
          <w:sz w:val="22"/>
          <w:szCs w:val="22"/>
          <w:lang w:val="uk-UA" w:eastAsia="zh-CN"/>
        </w:rPr>
      </w:pPr>
      <w:r w:rsidRPr="00520BC2">
        <w:rPr>
          <w:rFonts w:ascii="Arial" w:eastAsia="SimSun" w:hAnsi="Arial" w:cs="Arial"/>
          <w:color w:val="000000"/>
          <w:spacing w:val="-6"/>
          <w:sz w:val="22"/>
          <w:szCs w:val="22"/>
          <w:lang w:val="uk-UA" w:eastAsia="zh-CN"/>
        </w:rPr>
        <w:t>- у разі своєчасного та якісно</w:t>
      </w:r>
      <w:r w:rsidR="00520BC2">
        <w:rPr>
          <w:rFonts w:ascii="Arial" w:eastAsia="SimSun" w:hAnsi="Arial" w:cs="Arial"/>
          <w:color w:val="000000"/>
          <w:spacing w:val="-6"/>
          <w:sz w:val="22"/>
          <w:szCs w:val="22"/>
          <w:lang w:val="uk-UA" w:eastAsia="zh-CN"/>
        </w:rPr>
        <w:t>ї</w:t>
      </w:r>
      <w:r w:rsidRPr="00520BC2">
        <w:rPr>
          <w:rFonts w:ascii="Arial" w:eastAsia="SimSun" w:hAnsi="Arial" w:cs="Arial"/>
          <w:color w:val="000000"/>
          <w:spacing w:val="-6"/>
          <w:sz w:val="22"/>
          <w:szCs w:val="22"/>
          <w:lang w:val="uk-UA" w:eastAsia="zh-CN"/>
        </w:rPr>
        <w:t xml:space="preserve"> </w:t>
      </w:r>
      <w:r w:rsidR="00520BC2">
        <w:rPr>
          <w:rFonts w:ascii="Arial" w:eastAsia="SimSun" w:hAnsi="Arial" w:cs="Arial"/>
          <w:color w:val="000000"/>
          <w:spacing w:val="-6"/>
          <w:sz w:val="22"/>
          <w:szCs w:val="22"/>
          <w:lang w:val="uk-UA" w:eastAsia="zh-CN"/>
        </w:rPr>
        <w:t>поставки товару</w:t>
      </w:r>
      <w:r w:rsidRPr="00520BC2">
        <w:rPr>
          <w:rFonts w:ascii="Arial" w:eastAsia="SimSun" w:hAnsi="Arial" w:cs="Arial"/>
          <w:color w:val="000000"/>
          <w:spacing w:val="-6"/>
          <w:sz w:val="22"/>
          <w:szCs w:val="22"/>
          <w:lang w:val="uk-UA" w:eastAsia="zh-CN"/>
        </w:rPr>
        <w:t xml:space="preserve"> за даним Договором, повертаються Постачальнику у терміни, встановлені Договором;</w:t>
      </w:r>
    </w:p>
    <w:p w14:paraId="0A1D0CA2" w14:textId="38F28F9B" w:rsidR="0009498C" w:rsidRPr="00520BC2" w:rsidRDefault="0009498C" w:rsidP="0009498C">
      <w:pPr>
        <w:widowControl w:val="0"/>
        <w:suppressAutoHyphens/>
        <w:autoSpaceDE w:val="0"/>
        <w:ind w:firstLine="709"/>
        <w:jc w:val="both"/>
        <w:rPr>
          <w:rFonts w:ascii="Arial" w:eastAsia="SimSun" w:hAnsi="Arial" w:cs="Arial"/>
          <w:color w:val="000000"/>
          <w:spacing w:val="-6"/>
          <w:sz w:val="22"/>
          <w:szCs w:val="22"/>
          <w:lang w:val="uk-UA" w:eastAsia="zh-CN"/>
        </w:rPr>
      </w:pPr>
      <w:r w:rsidRPr="00520BC2">
        <w:rPr>
          <w:rFonts w:ascii="Arial" w:eastAsia="SimSun" w:hAnsi="Arial" w:cs="Arial"/>
          <w:color w:val="000000"/>
          <w:spacing w:val="-6"/>
          <w:sz w:val="22"/>
          <w:szCs w:val="22"/>
          <w:lang w:val="uk-UA" w:eastAsia="zh-CN"/>
        </w:rPr>
        <w:t>- у разі своєчасно</w:t>
      </w:r>
      <w:r w:rsidR="00520BC2">
        <w:rPr>
          <w:rFonts w:ascii="Arial" w:eastAsia="SimSun" w:hAnsi="Arial" w:cs="Arial"/>
          <w:color w:val="000000"/>
          <w:spacing w:val="-6"/>
          <w:sz w:val="22"/>
          <w:szCs w:val="22"/>
          <w:lang w:val="uk-UA" w:eastAsia="zh-CN"/>
        </w:rPr>
        <w:t>ї,</w:t>
      </w:r>
      <w:r w:rsidRPr="00520BC2">
        <w:rPr>
          <w:rFonts w:ascii="Arial" w:eastAsia="SimSun" w:hAnsi="Arial" w:cs="Arial"/>
          <w:color w:val="000000"/>
          <w:spacing w:val="-6"/>
          <w:sz w:val="22"/>
          <w:szCs w:val="22"/>
          <w:lang w:val="uk-UA" w:eastAsia="zh-CN"/>
        </w:rPr>
        <w:t xml:space="preserve"> але не якісного </w:t>
      </w:r>
      <w:r w:rsidR="00520BC2">
        <w:rPr>
          <w:rFonts w:ascii="Arial" w:eastAsia="SimSun" w:hAnsi="Arial" w:cs="Arial"/>
          <w:color w:val="000000"/>
          <w:spacing w:val="-6"/>
          <w:sz w:val="22"/>
          <w:szCs w:val="22"/>
          <w:lang w:val="uk-UA" w:eastAsia="zh-CN"/>
        </w:rPr>
        <w:t>поставки товарів</w:t>
      </w:r>
      <w:r w:rsidRPr="00520BC2">
        <w:rPr>
          <w:rFonts w:ascii="Arial" w:eastAsia="SimSun" w:hAnsi="Arial" w:cs="Arial"/>
          <w:color w:val="000000"/>
          <w:spacing w:val="-6"/>
          <w:sz w:val="22"/>
          <w:szCs w:val="22"/>
          <w:lang w:val="uk-UA" w:eastAsia="zh-CN"/>
        </w:rPr>
        <w:t>, обумовлених Договором, Постачальник втрачає право на повернення таких коштів;</w:t>
      </w:r>
    </w:p>
    <w:p w14:paraId="177A47A5" w14:textId="65AD3372" w:rsidR="0009498C" w:rsidRPr="00520BC2" w:rsidRDefault="0009498C" w:rsidP="0009498C">
      <w:pPr>
        <w:widowControl w:val="0"/>
        <w:suppressAutoHyphens/>
        <w:autoSpaceDE w:val="0"/>
        <w:ind w:firstLine="709"/>
        <w:jc w:val="both"/>
        <w:rPr>
          <w:rFonts w:ascii="Arial" w:eastAsia="SimSun" w:hAnsi="Arial" w:cs="Arial"/>
          <w:color w:val="000000"/>
          <w:spacing w:val="-6"/>
          <w:sz w:val="22"/>
          <w:szCs w:val="22"/>
          <w:lang w:val="uk-UA" w:eastAsia="zh-CN"/>
        </w:rPr>
      </w:pPr>
      <w:r w:rsidRPr="00520BC2">
        <w:rPr>
          <w:rFonts w:ascii="Arial" w:eastAsia="SimSun" w:hAnsi="Arial" w:cs="Arial"/>
          <w:color w:val="000000"/>
          <w:spacing w:val="-6"/>
          <w:sz w:val="22"/>
          <w:szCs w:val="22"/>
          <w:lang w:val="uk-UA" w:eastAsia="zh-CN"/>
        </w:rPr>
        <w:t xml:space="preserve">- у разі розірвання Договору з ініціативи Покупця, у випадках визначених </w:t>
      </w:r>
      <w:proofErr w:type="spellStart"/>
      <w:r w:rsidR="006C1F23" w:rsidRPr="00520BC2">
        <w:rPr>
          <w:rFonts w:ascii="Arial" w:eastAsia="SimSun" w:hAnsi="Arial" w:cs="Arial"/>
          <w:color w:val="000000"/>
          <w:spacing w:val="-6"/>
          <w:sz w:val="22"/>
          <w:szCs w:val="22"/>
          <w:lang w:val="uk-UA" w:eastAsia="zh-CN"/>
        </w:rPr>
        <w:t>п.</w:t>
      </w:r>
      <w:r w:rsidRPr="00520BC2">
        <w:rPr>
          <w:rFonts w:ascii="Arial" w:eastAsia="SimSun" w:hAnsi="Arial" w:cs="Arial"/>
          <w:color w:val="000000"/>
          <w:spacing w:val="-6"/>
          <w:sz w:val="22"/>
          <w:szCs w:val="22"/>
          <w:lang w:val="uk-UA" w:eastAsia="zh-CN"/>
        </w:rPr>
        <w:t>п</w:t>
      </w:r>
      <w:proofErr w:type="spellEnd"/>
      <w:r w:rsidRPr="00520BC2">
        <w:rPr>
          <w:rFonts w:ascii="Arial" w:eastAsia="SimSun" w:hAnsi="Arial" w:cs="Arial"/>
          <w:color w:val="000000"/>
          <w:spacing w:val="-6"/>
          <w:sz w:val="22"/>
          <w:szCs w:val="22"/>
          <w:lang w:val="uk-UA" w:eastAsia="zh-CN"/>
        </w:rPr>
        <w:t xml:space="preserve">. </w:t>
      </w:r>
      <w:r w:rsidR="006C1F23" w:rsidRPr="00520BC2">
        <w:rPr>
          <w:rFonts w:ascii="Arial" w:eastAsia="SimSun" w:hAnsi="Arial" w:cs="Arial"/>
          <w:color w:val="000000"/>
          <w:spacing w:val="-6"/>
          <w:sz w:val="22"/>
          <w:szCs w:val="22"/>
          <w:lang w:val="uk-UA" w:eastAsia="zh-CN"/>
        </w:rPr>
        <w:t>5.3.1., 5.3.2.</w:t>
      </w:r>
      <w:r w:rsidRPr="00520BC2">
        <w:rPr>
          <w:rFonts w:ascii="Arial" w:eastAsia="SimSun" w:hAnsi="Arial" w:cs="Arial"/>
          <w:color w:val="000000"/>
          <w:spacing w:val="-6"/>
          <w:sz w:val="22"/>
          <w:szCs w:val="22"/>
          <w:lang w:val="uk-UA" w:eastAsia="zh-CN"/>
        </w:rPr>
        <w:t xml:space="preserve"> цього Договору, </w:t>
      </w:r>
      <w:r w:rsidR="006C1F23" w:rsidRPr="00520BC2">
        <w:rPr>
          <w:rFonts w:ascii="Arial" w:eastAsia="SimSun" w:hAnsi="Arial" w:cs="Arial"/>
          <w:color w:val="000000"/>
          <w:spacing w:val="-6"/>
          <w:sz w:val="22"/>
          <w:szCs w:val="22"/>
          <w:lang w:val="uk-UA" w:eastAsia="zh-CN"/>
        </w:rPr>
        <w:t>Постачальнику</w:t>
      </w:r>
      <w:r w:rsidRPr="00520BC2">
        <w:rPr>
          <w:rFonts w:ascii="Arial" w:eastAsia="SimSun" w:hAnsi="Arial" w:cs="Arial"/>
          <w:color w:val="000000"/>
          <w:spacing w:val="-6"/>
          <w:sz w:val="22"/>
          <w:szCs w:val="22"/>
          <w:lang w:val="uk-UA" w:eastAsia="zh-CN"/>
        </w:rPr>
        <w:t xml:space="preserve"> не повертаються;</w:t>
      </w:r>
    </w:p>
    <w:p w14:paraId="491B3F89" w14:textId="77777777" w:rsidR="0009498C" w:rsidRPr="00520BC2" w:rsidRDefault="0009498C" w:rsidP="0009498C">
      <w:pPr>
        <w:widowControl w:val="0"/>
        <w:suppressAutoHyphens/>
        <w:autoSpaceDE w:val="0"/>
        <w:ind w:firstLine="709"/>
        <w:jc w:val="both"/>
        <w:rPr>
          <w:rFonts w:ascii="Arial" w:eastAsia="SimSun" w:hAnsi="Arial" w:cs="Arial"/>
          <w:color w:val="000000"/>
          <w:spacing w:val="-6"/>
          <w:sz w:val="22"/>
          <w:szCs w:val="22"/>
          <w:lang w:val="uk-UA" w:eastAsia="zh-CN"/>
        </w:rPr>
      </w:pPr>
      <w:r w:rsidRPr="00520BC2">
        <w:rPr>
          <w:rFonts w:ascii="Arial" w:eastAsia="SimSun" w:hAnsi="Arial" w:cs="Arial"/>
          <w:color w:val="000000"/>
          <w:spacing w:val="-6"/>
          <w:sz w:val="22"/>
          <w:szCs w:val="22"/>
          <w:lang w:val="uk-UA" w:eastAsia="zh-CN"/>
        </w:rPr>
        <w:t>- у разі розірвання Договору за взаємною згодою Сторін, можуть бути повернуті частково за домовленістю Сторін.</w:t>
      </w:r>
    </w:p>
    <w:p w14:paraId="35614642" w14:textId="77777777" w:rsidR="0009498C" w:rsidRPr="0009498C" w:rsidRDefault="0009498C" w:rsidP="0009498C">
      <w:pPr>
        <w:widowControl w:val="0"/>
        <w:suppressAutoHyphens/>
        <w:autoSpaceDE w:val="0"/>
        <w:ind w:firstLine="709"/>
        <w:jc w:val="both"/>
        <w:rPr>
          <w:rFonts w:ascii="Arial" w:eastAsia="SimSun" w:hAnsi="Arial" w:cs="Arial"/>
          <w:bCs/>
          <w:color w:val="000000"/>
          <w:sz w:val="22"/>
          <w:szCs w:val="22"/>
          <w:lang w:val="uk-UA" w:eastAsia="zh-CN"/>
        </w:rPr>
      </w:pPr>
      <w:r w:rsidRPr="00520BC2">
        <w:rPr>
          <w:rFonts w:ascii="Arial" w:eastAsia="SimSun" w:hAnsi="Arial" w:cs="Arial"/>
          <w:color w:val="000000"/>
          <w:sz w:val="22"/>
          <w:szCs w:val="22"/>
          <w:lang w:val="uk-UA" w:eastAsia="zh-CN"/>
        </w:rPr>
        <w:t>3.7.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w:t>
      </w:r>
      <w:proofErr w:type="spellStart"/>
      <w:r w:rsidRPr="00667341">
        <w:rPr>
          <w:rFonts w:ascii="Arial" w:hAnsi="Arial" w:cs="Arial"/>
          <w:color w:val="000000"/>
          <w:sz w:val="22"/>
          <w:szCs w:val="22"/>
          <w:shd w:val="clear" w:color="auto" w:fill="FFFFFF"/>
          <w:lang w:val="uk-UA"/>
        </w:rPr>
        <w:t>адресою</w:t>
      </w:r>
      <w:proofErr w:type="spellEnd"/>
      <w:r w:rsidRPr="00667341">
        <w:rPr>
          <w:rFonts w:ascii="Arial" w:hAnsi="Arial" w:cs="Arial"/>
          <w:color w:val="000000"/>
          <w:sz w:val="22"/>
          <w:szCs w:val="22"/>
          <w:shd w:val="clear" w:color="auto" w:fill="FFFFFF"/>
          <w:lang w:val="uk-UA"/>
        </w:rPr>
        <w:t>: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4C5557BE" w14:textId="2E128F70" w:rsidR="006C1F23" w:rsidRPr="00003F28" w:rsidRDefault="006C1F23" w:rsidP="006C1F23">
      <w:pPr>
        <w:widowControl w:val="0"/>
        <w:shd w:val="clear" w:color="auto" w:fill="FFFFFF"/>
        <w:suppressAutoHyphens/>
        <w:autoSpaceDE w:val="0"/>
        <w:ind w:left="29" w:right="5" w:firstLine="680"/>
        <w:jc w:val="both"/>
        <w:rPr>
          <w:rFonts w:ascii="Arial" w:eastAsia="SimSun" w:hAnsi="Arial" w:cs="Arial"/>
          <w:i/>
          <w:iCs/>
          <w:color w:val="000000"/>
          <w:sz w:val="22"/>
          <w:szCs w:val="22"/>
          <w:lang w:val="uk-UA" w:eastAsia="zh-CN"/>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У разі своєчасного та якісного виконання робіт згідно з умовами Договору  повернути Постачальнику забезпечення виконання Договору про закупівлю у межах строків, визначених п. 5.1.5 Договору</w:t>
      </w:r>
      <w:r w:rsidR="00667341" w:rsidRPr="00003F28">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 </w:t>
      </w:r>
    </w:p>
    <w:p w14:paraId="7A5FE807" w14:textId="14332B84" w:rsidR="006C1F23" w:rsidRPr="00667341" w:rsidRDefault="006C1F23" w:rsidP="006C1F23">
      <w:pPr>
        <w:widowControl w:val="0"/>
        <w:ind w:firstLine="680"/>
        <w:jc w:val="both"/>
        <w:rPr>
          <w:rFonts w:ascii="Arial" w:hAnsi="Arial" w:cs="Arial"/>
          <w:color w:val="000000"/>
          <w:sz w:val="22"/>
          <w:szCs w:val="22"/>
          <w:lang w:val="uk-UA"/>
        </w:rPr>
      </w:pPr>
      <w:r w:rsidRPr="00003F28">
        <w:rPr>
          <w:rFonts w:ascii="Arial" w:hAnsi="Arial" w:cs="Arial"/>
          <w:color w:val="000000"/>
          <w:sz w:val="22"/>
          <w:szCs w:val="22"/>
          <w:lang w:val="uk-UA"/>
        </w:rPr>
        <w:t xml:space="preserve">5.1.5. У випадках, передбачених ч. 2 ст. 27 Закону України «Про публічні закупівлі» повернути, договірне забезпечення, внесене </w:t>
      </w:r>
      <w:r w:rsidR="00667341" w:rsidRPr="00003F28">
        <w:rPr>
          <w:rFonts w:ascii="Arial" w:hAnsi="Arial" w:cs="Arial"/>
          <w:color w:val="000000"/>
          <w:sz w:val="22"/>
          <w:szCs w:val="22"/>
          <w:lang w:val="uk-UA"/>
        </w:rPr>
        <w:t>Постачальником</w:t>
      </w:r>
      <w:r w:rsidRPr="00003F28">
        <w:rPr>
          <w:rFonts w:ascii="Arial" w:hAnsi="Arial" w:cs="Arial"/>
          <w:color w:val="000000"/>
          <w:sz w:val="22"/>
          <w:szCs w:val="22"/>
          <w:lang w:val="uk-UA"/>
        </w:rPr>
        <w:t>, протягом 5 банківських днів на рахунок останнього з дня настання визначених обставин.</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7884E508" w14:textId="718168E8" w:rsidR="006C1F23" w:rsidRPr="00667341" w:rsidRDefault="00667341" w:rsidP="0046779F">
      <w:pPr>
        <w:ind w:firstLine="709"/>
        <w:jc w:val="both"/>
        <w:rPr>
          <w:rFonts w:ascii="Arial" w:eastAsia="Times New Roman" w:hAnsi="Arial" w:cs="Arial"/>
          <w:color w:val="000000"/>
          <w:sz w:val="22"/>
          <w:szCs w:val="22"/>
          <w:lang w:val="uk-UA" w:eastAsia="uk-UA"/>
        </w:rPr>
      </w:pPr>
      <w:r w:rsidRPr="00003F28">
        <w:rPr>
          <w:rFonts w:ascii="Arial" w:hAnsi="Arial" w:cs="Arial"/>
          <w:color w:val="000000"/>
          <w:sz w:val="22"/>
          <w:szCs w:val="22"/>
          <w:lang w:val="uk-UA"/>
        </w:rPr>
        <w:t xml:space="preserve">5.3.4. </w:t>
      </w:r>
      <w:bookmarkStart w:id="0" w:name="_Hlk130556310"/>
      <w:r w:rsidR="006C1F23" w:rsidRPr="00003F28">
        <w:rPr>
          <w:rFonts w:ascii="Arial" w:hAnsi="Arial" w:cs="Arial"/>
          <w:color w:val="000000"/>
          <w:sz w:val="22"/>
          <w:szCs w:val="22"/>
          <w:lang w:val="uk-UA"/>
        </w:rPr>
        <w:t xml:space="preserve">Не пізніше дати укладення Договору, </w:t>
      </w:r>
      <w:proofErr w:type="spellStart"/>
      <w:r w:rsidR="006C1F23" w:rsidRPr="00003F28">
        <w:rPr>
          <w:rFonts w:ascii="Arial" w:hAnsi="Arial" w:cs="Arial"/>
          <w:color w:val="000000"/>
          <w:sz w:val="22"/>
          <w:szCs w:val="22"/>
          <w:lang w:val="uk-UA"/>
        </w:rPr>
        <w:t>внести</w:t>
      </w:r>
      <w:proofErr w:type="spellEnd"/>
      <w:r w:rsidR="006C1F23" w:rsidRPr="00003F28">
        <w:rPr>
          <w:rFonts w:ascii="Arial" w:hAnsi="Arial" w:cs="Arial"/>
          <w:color w:val="000000"/>
          <w:sz w:val="22"/>
          <w:szCs w:val="22"/>
          <w:lang w:val="uk-UA"/>
        </w:rPr>
        <w:t xml:space="preserve"> забезпечення виконання Договору, шляхом </w:t>
      </w:r>
      <w:r w:rsidRPr="00003F28">
        <w:rPr>
          <w:rFonts w:ascii="Arial" w:hAnsi="Arial" w:cs="Arial"/>
          <w:color w:val="000000"/>
          <w:sz w:val="22"/>
          <w:szCs w:val="22"/>
          <w:lang w:val="uk-UA"/>
        </w:rPr>
        <w:t>перерахунку на рахунок Покупця</w:t>
      </w:r>
      <w:r w:rsidR="006C1F23" w:rsidRPr="00003F28">
        <w:rPr>
          <w:rFonts w:ascii="Arial" w:hAnsi="Arial" w:cs="Arial"/>
          <w:color w:val="000000"/>
          <w:sz w:val="22"/>
          <w:szCs w:val="22"/>
          <w:lang w:val="uk-UA"/>
        </w:rPr>
        <w:t xml:space="preserve"> грошових коштів, які становлять</w:t>
      </w:r>
      <w:r w:rsidRPr="00003F28">
        <w:rPr>
          <w:rFonts w:ascii="Arial" w:hAnsi="Arial" w:cs="Arial"/>
          <w:color w:val="000000"/>
          <w:sz w:val="22"/>
          <w:szCs w:val="22"/>
          <w:lang w:val="uk-UA"/>
        </w:rPr>
        <w:t xml:space="preserve"> 3%</w:t>
      </w:r>
      <w:r w:rsidR="006C1F23" w:rsidRPr="00003F28">
        <w:rPr>
          <w:rFonts w:ascii="Arial" w:hAnsi="Arial" w:cs="Arial"/>
          <w:color w:val="000000"/>
          <w:sz w:val="22"/>
          <w:szCs w:val="22"/>
          <w:lang w:val="uk-UA"/>
        </w:rPr>
        <w:t xml:space="preserve"> від </w:t>
      </w:r>
      <w:r w:rsidRPr="00003F28">
        <w:rPr>
          <w:rFonts w:ascii="Arial" w:hAnsi="Arial" w:cs="Arial"/>
          <w:color w:val="000000"/>
          <w:sz w:val="22"/>
          <w:szCs w:val="22"/>
          <w:lang w:val="uk-UA"/>
        </w:rPr>
        <w:t>ціни, визначеної п. 3.1</w:t>
      </w:r>
      <w:r w:rsidR="006C1F23" w:rsidRPr="00003F28">
        <w:rPr>
          <w:rFonts w:ascii="Arial" w:hAnsi="Arial" w:cs="Arial"/>
          <w:color w:val="000000"/>
          <w:sz w:val="22"/>
          <w:szCs w:val="22"/>
          <w:lang w:val="uk-UA"/>
        </w:rPr>
        <w:t>. Договору</w:t>
      </w:r>
      <w:bookmarkEnd w:id="0"/>
      <w:r w:rsidR="006C1F23" w:rsidRPr="00003F28">
        <w:rPr>
          <w:rFonts w:ascii="Arial" w:hAnsi="Arial" w:cs="Arial"/>
          <w:color w:val="000000"/>
          <w:sz w:val="22"/>
          <w:szCs w:val="22"/>
          <w:lang w:val="uk-UA"/>
        </w:rPr>
        <w:t>.</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6.2 У разі порушення терміну оплати за поставлений товар у випадках, передбачених </w:t>
      </w:r>
      <w:proofErr w:type="spellStart"/>
      <w:r w:rsidRPr="00667341">
        <w:rPr>
          <w:rFonts w:ascii="Arial" w:eastAsia="Times New Roman" w:hAnsi="Arial" w:cs="Arial"/>
          <w:color w:val="000000"/>
          <w:sz w:val="22"/>
          <w:szCs w:val="22"/>
          <w:lang w:val="uk-UA" w:eastAsia="uk-UA"/>
        </w:rPr>
        <w:t>п.п</w:t>
      </w:r>
      <w:proofErr w:type="spellEnd"/>
      <w:r w:rsidRPr="00667341">
        <w:rPr>
          <w:rFonts w:ascii="Arial" w:eastAsia="Times New Roman" w:hAnsi="Arial" w:cs="Arial"/>
          <w:color w:val="000000"/>
          <w:sz w:val="22"/>
          <w:szCs w:val="22"/>
          <w:lang w:val="uk-UA" w:eastAsia="uk-UA"/>
        </w:rPr>
        <w:t>.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lastRenderedPageBreak/>
        <w:t xml:space="preserve">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w:t>
      </w:r>
      <w:proofErr w:type="spellStart"/>
      <w:r w:rsidRPr="00667341">
        <w:rPr>
          <w:rFonts w:ascii="Arial" w:eastAsia="Times New Roman" w:hAnsi="Arial" w:cs="Arial"/>
          <w:color w:val="000000"/>
          <w:sz w:val="22"/>
          <w:szCs w:val="22"/>
          <w:lang w:val="uk-UA"/>
        </w:rPr>
        <w:t>хабара</w:t>
      </w:r>
      <w:proofErr w:type="spellEnd"/>
      <w:r w:rsidRPr="00667341">
        <w:rPr>
          <w:rFonts w:ascii="Arial" w:eastAsia="Times New Roman" w:hAnsi="Arial" w:cs="Arial"/>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0EC4E961"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31 грудня 202</w:t>
      </w:r>
      <w:r w:rsidR="00E021FA">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1" w:name="n660"/>
      <w:bookmarkEnd w:id="1"/>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2" w:name="n588"/>
      <w:bookmarkEnd w:id="2"/>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w:t>
      </w:r>
      <w:r w:rsidRPr="00667341">
        <w:rPr>
          <w:rFonts w:ascii="Arial" w:eastAsia="Times New Roman" w:hAnsi="Arial" w:cs="Arial"/>
          <w:color w:val="000000"/>
          <w:sz w:val="22"/>
          <w:szCs w:val="22"/>
          <w:lang w:val="uk-UA" w:eastAsia="uk-UA"/>
        </w:rPr>
        <w:lastRenderedPageBreak/>
        <w:t xml:space="preserve">Сторонами, окрім випадків, зазначених у Договорі (у </w:t>
      </w:r>
      <w:proofErr w:type="spellStart"/>
      <w:r w:rsidRPr="00667341">
        <w:rPr>
          <w:rFonts w:ascii="Arial" w:eastAsia="Times New Roman" w:hAnsi="Arial" w:cs="Arial"/>
          <w:color w:val="000000"/>
          <w:sz w:val="22"/>
          <w:szCs w:val="22"/>
          <w:lang w:val="uk-UA" w:eastAsia="uk-UA"/>
        </w:rPr>
        <w:t>т.ч</w:t>
      </w:r>
      <w:proofErr w:type="spellEnd"/>
      <w:r w:rsidRPr="00667341">
        <w:rPr>
          <w:rFonts w:ascii="Arial" w:eastAsia="Times New Roman" w:hAnsi="Arial" w:cs="Arial"/>
          <w:color w:val="000000"/>
          <w:sz w:val="22"/>
          <w:szCs w:val="22"/>
          <w:lang w:val="uk-UA" w:eastAsia="uk-UA"/>
        </w:rPr>
        <w:t>.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3" w:name="n589"/>
      <w:bookmarkEnd w:id="3"/>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w:t>
            </w:r>
            <w:proofErr w:type="spellStart"/>
            <w:r w:rsidRPr="00667341">
              <w:rPr>
                <w:rFonts w:ascii="Arial" w:eastAsia="Times New Roman" w:hAnsi="Arial" w:cs="Arial"/>
                <w:bCs/>
                <w:sz w:val="22"/>
                <w:szCs w:val="22"/>
                <w:lang w:val="uk-UA"/>
              </w:rPr>
              <w:t>пл</w:t>
            </w:r>
            <w:proofErr w:type="spellEnd"/>
            <w:r w:rsidRPr="00667341">
              <w:rPr>
                <w:rFonts w:ascii="Arial" w:eastAsia="Times New Roman" w:hAnsi="Arial" w:cs="Arial"/>
                <w:bCs/>
                <w:sz w:val="22"/>
                <w:szCs w:val="22"/>
                <w:lang w:val="uk-UA"/>
              </w:rPr>
              <w:t xml:space="preserve">.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F109597" w14:textId="77777777" w:rsidR="00E021FA" w:rsidRDefault="00E021FA" w:rsidP="00755C83">
      <w:pPr>
        <w:rPr>
          <w:rFonts w:ascii="Arial" w:hAnsi="Arial" w:cs="Arial"/>
          <w:b/>
          <w:bCs/>
          <w:sz w:val="20"/>
          <w:szCs w:val="20"/>
          <w:lang w:val="uk-UA"/>
        </w:rPr>
      </w:pPr>
    </w:p>
    <w:p w14:paraId="3A4C14E5" w14:textId="77777777" w:rsidR="00E021FA" w:rsidRDefault="00E021FA"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proofErr w:type="spellStart"/>
            <w:r w:rsidRPr="005A69C8">
              <w:rPr>
                <w:rFonts w:ascii="Arial" w:hAnsi="Arial" w:cs="Arial"/>
                <w:b/>
                <w:bCs/>
                <w:lang w:eastAsia="uk-UA"/>
              </w:rPr>
              <w:t>Найменування</w:t>
            </w:r>
            <w:proofErr w:type="spellEnd"/>
            <w:r w:rsidRPr="005A69C8">
              <w:rPr>
                <w:rFonts w:ascii="Arial" w:hAnsi="Arial" w:cs="Arial"/>
                <w:b/>
                <w:bCs/>
                <w:lang w:eastAsia="uk-UA"/>
              </w:rPr>
              <w:t xml:space="preserve">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Одиниці</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виміру</w:t>
            </w:r>
            <w:proofErr w:type="spellEnd"/>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proofErr w:type="spellStart"/>
            <w:r w:rsidRPr="005A69C8">
              <w:rPr>
                <w:rFonts w:ascii="Arial" w:hAnsi="Arial" w:cs="Arial"/>
                <w:b/>
                <w:bCs/>
                <w:lang w:val="uk-UA" w:eastAsia="uk-UA"/>
              </w:rPr>
              <w:t>ількість</w:t>
            </w:r>
            <w:proofErr w:type="spellEnd"/>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Загальна</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вартість</w:t>
            </w:r>
            <w:proofErr w:type="spellEnd"/>
            <w:r w:rsidRPr="005A69C8">
              <w:rPr>
                <w:rFonts w:ascii="Arial" w:hAnsi="Arial" w:cs="Arial"/>
                <w:b/>
                <w:bCs/>
                <w:lang w:eastAsia="uk-UA"/>
              </w:rPr>
              <w:t>,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Вартість</w:t>
            </w:r>
            <w:proofErr w:type="spellEnd"/>
            <w:r w:rsidRPr="005A69C8">
              <w:rPr>
                <w:rFonts w:ascii="Arial" w:hAnsi="Arial" w:cs="Arial"/>
                <w:b/>
                <w:bCs/>
                <w:lang w:val="uk-UA" w:eastAsia="uk-UA"/>
              </w:rPr>
              <w:t xml:space="preserve"> </w:t>
            </w:r>
            <w:r w:rsidRPr="005A69C8">
              <w:rPr>
                <w:rFonts w:ascii="Arial" w:hAnsi="Arial" w:cs="Arial"/>
                <w:b/>
                <w:bCs/>
                <w:lang w:eastAsia="uk-UA"/>
              </w:rPr>
              <w:t xml:space="preserve">                                                                                                                                       </w:t>
            </w:r>
            <w:proofErr w:type="spellStart"/>
            <w:r w:rsidRPr="005A69C8">
              <w:rPr>
                <w:rFonts w:ascii="Arial" w:hAnsi="Arial" w:cs="Arial"/>
                <w:b/>
                <w:bCs/>
                <w:lang w:eastAsia="uk-UA"/>
              </w:rPr>
              <w:t>Загалом</w:t>
            </w:r>
            <w:proofErr w:type="spellEnd"/>
            <w:r w:rsidRPr="005A69C8">
              <w:rPr>
                <w:rFonts w:ascii="Arial" w:hAnsi="Arial" w:cs="Arial"/>
                <w:b/>
                <w:bCs/>
                <w:lang w:eastAsia="uk-UA"/>
              </w:rPr>
              <w:t xml:space="preserve">:  </w:t>
            </w:r>
            <w:r w:rsidRPr="005A69C8">
              <w:rPr>
                <w:rFonts w:ascii="Arial" w:hAnsi="Arial" w:cs="Arial"/>
                <w:bCs/>
                <w:lang w:eastAsia="uk-UA"/>
              </w:rPr>
              <w:t xml:space="preserve">(Цифрами та </w:t>
            </w:r>
            <w:proofErr w:type="spellStart"/>
            <w:r w:rsidRPr="005A69C8">
              <w:rPr>
                <w:rFonts w:ascii="Arial" w:hAnsi="Arial" w:cs="Arial"/>
                <w:bCs/>
                <w:lang w:eastAsia="uk-UA"/>
              </w:rPr>
              <w:t>прописом</w:t>
            </w:r>
            <w:proofErr w:type="spellEnd"/>
            <w:r w:rsidRPr="005A69C8">
              <w:rPr>
                <w:rFonts w:ascii="Arial" w:hAnsi="Arial" w:cs="Arial"/>
                <w:bCs/>
                <w:lang w:eastAsia="uk-UA"/>
              </w:rPr>
              <w:t xml:space="preserve">)___________________________________________________ </w:t>
            </w:r>
            <w:r w:rsidRPr="005A69C8">
              <w:rPr>
                <w:rFonts w:ascii="Arial" w:hAnsi="Arial" w:cs="Arial"/>
                <w:b/>
                <w:bCs/>
                <w:lang w:eastAsia="uk-UA"/>
              </w:rPr>
              <w:t>_____________________________________________________грн (</w:t>
            </w:r>
            <w:proofErr w:type="spellStart"/>
            <w:r w:rsidRPr="005A69C8">
              <w:rPr>
                <w:rFonts w:ascii="Arial" w:hAnsi="Arial" w:cs="Arial"/>
                <w:b/>
                <w:bCs/>
                <w:lang w:eastAsia="uk-UA"/>
              </w:rPr>
              <w:t>зазначається</w:t>
            </w:r>
            <w:proofErr w:type="spellEnd"/>
            <w:r w:rsidRPr="005A69C8">
              <w:rPr>
                <w:rFonts w:ascii="Arial" w:hAnsi="Arial" w:cs="Arial"/>
                <w:b/>
                <w:bCs/>
                <w:lang w:eastAsia="uk-UA"/>
              </w:rPr>
              <w:t xml:space="preserve">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w:t>
            </w:r>
            <w:proofErr w:type="spellStart"/>
            <w:r w:rsidRPr="005A69C8">
              <w:rPr>
                <w:rFonts w:ascii="Arial" w:eastAsia="Times New Roman" w:hAnsi="Arial" w:cs="Arial"/>
                <w:bCs/>
                <w:sz w:val="22"/>
                <w:szCs w:val="22"/>
                <w:lang w:val="uk-UA"/>
              </w:rPr>
              <w:t>пл</w:t>
            </w:r>
            <w:proofErr w:type="spellEnd"/>
            <w:r w:rsidRPr="005A69C8">
              <w:rPr>
                <w:rFonts w:ascii="Arial" w:eastAsia="Times New Roman" w:hAnsi="Arial" w:cs="Arial"/>
                <w:bCs/>
                <w:sz w:val="22"/>
                <w:szCs w:val="22"/>
                <w:lang w:val="uk-UA"/>
              </w:rPr>
              <w:t xml:space="preserve">.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DC03D4">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7571F"/>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2256"/>
    <w:rsid w:val="003E6A9B"/>
    <w:rsid w:val="004055DF"/>
    <w:rsid w:val="00434F77"/>
    <w:rsid w:val="00462E2E"/>
    <w:rsid w:val="0046779F"/>
    <w:rsid w:val="00491205"/>
    <w:rsid w:val="004A2013"/>
    <w:rsid w:val="004B2175"/>
    <w:rsid w:val="004B7A72"/>
    <w:rsid w:val="004F3A10"/>
    <w:rsid w:val="00515350"/>
    <w:rsid w:val="00520BC2"/>
    <w:rsid w:val="00522564"/>
    <w:rsid w:val="00522656"/>
    <w:rsid w:val="0052774B"/>
    <w:rsid w:val="00532EC5"/>
    <w:rsid w:val="00544F92"/>
    <w:rsid w:val="00590A4A"/>
    <w:rsid w:val="00593069"/>
    <w:rsid w:val="005A69C8"/>
    <w:rsid w:val="005F5136"/>
    <w:rsid w:val="00602100"/>
    <w:rsid w:val="0065441C"/>
    <w:rsid w:val="006561BE"/>
    <w:rsid w:val="00667341"/>
    <w:rsid w:val="0069795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7F12"/>
    <w:rsid w:val="009F5A3C"/>
    <w:rsid w:val="00A4630D"/>
    <w:rsid w:val="00A71602"/>
    <w:rsid w:val="00A75919"/>
    <w:rsid w:val="00A906FB"/>
    <w:rsid w:val="00AC2C77"/>
    <w:rsid w:val="00AD76A4"/>
    <w:rsid w:val="00AF0B7A"/>
    <w:rsid w:val="00AF78AA"/>
    <w:rsid w:val="00B258F1"/>
    <w:rsid w:val="00B43683"/>
    <w:rsid w:val="00B45052"/>
    <w:rsid w:val="00B73F23"/>
    <w:rsid w:val="00B91E46"/>
    <w:rsid w:val="00BA6545"/>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C03D4"/>
    <w:rsid w:val="00DF4505"/>
    <w:rsid w:val="00E021FA"/>
    <w:rsid w:val="00E47861"/>
    <w:rsid w:val="00E6310F"/>
    <w:rsid w:val="00EA02B3"/>
    <w:rsid w:val="00EA5510"/>
    <w:rsid w:val="00EC1205"/>
    <w:rsid w:val="00ED75BA"/>
    <w:rsid w:val="00EE6278"/>
    <w:rsid w:val="00EF6800"/>
    <w:rsid w:val="00F03313"/>
    <w:rsid w:val="00F0449B"/>
    <w:rsid w:val="00F4355E"/>
    <w:rsid w:val="00F862E5"/>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12356</Words>
  <Characters>7044</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10</cp:revision>
  <cp:lastPrinted>2022-01-13T09:40:00Z</cp:lastPrinted>
  <dcterms:created xsi:type="dcterms:W3CDTF">2023-03-21T12:58:00Z</dcterms:created>
  <dcterms:modified xsi:type="dcterms:W3CDTF">2024-03-20T12:58:00Z</dcterms:modified>
</cp:coreProperties>
</file>