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2F601B12" w:rsidR="00CE5643" w:rsidRPr="00FA774A" w:rsidRDefault="00CE5643" w:rsidP="00873A5C">
      <w:pPr>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215DBB" w:rsidRPr="00874B51">
        <w:rPr>
          <w:sz w:val="24"/>
          <w:szCs w:val="24"/>
        </w:rPr>
        <w:t>Консультаційні послуги з функціонування та налаштування програмного забезпечення «</w:t>
      </w:r>
      <w:proofErr w:type="spellStart"/>
      <w:r w:rsidR="00215DBB" w:rsidRPr="00874B51">
        <w:rPr>
          <w:sz w:val="24"/>
          <w:szCs w:val="24"/>
        </w:rPr>
        <w:t>Master</w:t>
      </w:r>
      <w:proofErr w:type="spellEnd"/>
      <w:r w:rsidR="00215DBB" w:rsidRPr="00874B51">
        <w:rPr>
          <w:sz w:val="24"/>
          <w:szCs w:val="24"/>
        </w:rPr>
        <w:t>: Комплексний облік  для бюджетних установ»</w:t>
      </w:r>
      <w:r w:rsidR="00215DBB" w:rsidRPr="00FA774A">
        <w:rPr>
          <w:sz w:val="24"/>
          <w:szCs w:val="24"/>
        </w:rPr>
        <w:t xml:space="preserve"> </w:t>
      </w:r>
      <w:r w:rsidR="00215DBB">
        <w:rPr>
          <w:sz w:val="24"/>
          <w:szCs w:val="24"/>
        </w:rPr>
        <w:t>(</w:t>
      </w:r>
      <w:r w:rsidRPr="00FA774A">
        <w:rPr>
          <w:sz w:val="24"/>
          <w:szCs w:val="24"/>
        </w:rPr>
        <w:t xml:space="preserve">ДК 021:2015 – </w:t>
      </w:r>
      <w:r w:rsidR="00215DBB" w:rsidRPr="00874B51">
        <w:rPr>
          <w:spacing w:val="-8"/>
          <w:sz w:val="24"/>
          <w:szCs w:val="24"/>
        </w:rPr>
        <w:t>72260000-5</w:t>
      </w:r>
      <w:r w:rsidR="00215DBB" w:rsidRPr="00FA774A">
        <w:rPr>
          <w:sz w:val="24"/>
          <w:szCs w:val="24"/>
        </w:rPr>
        <w:t xml:space="preserve"> </w:t>
      </w:r>
      <w:r w:rsidR="00215DBB" w:rsidRPr="00874B51">
        <w:rPr>
          <w:spacing w:val="-8"/>
          <w:sz w:val="24"/>
          <w:szCs w:val="24"/>
        </w:rPr>
        <w:t>— Послуги, пов’язані з програмним забезпеченням</w:t>
      </w:r>
      <w:r w:rsidR="00215DBB">
        <w:rPr>
          <w:sz w:val="24"/>
          <w:szCs w:val="24"/>
        </w:rPr>
        <w:t>)</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A4D6A55"/>
    <w:multiLevelType w:val="hybridMultilevel"/>
    <w:tmpl w:val="2214A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6"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7"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8"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2"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7"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8" w15:restartNumberingAfterBreak="0">
    <w:nsid w:val="30264BCC"/>
    <w:multiLevelType w:val="hybridMultilevel"/>
    <w:tmpl w:val="2DCC34FE"/>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5D53AD"/>
    <w:multiLevelType w:val="hybridMultilevel"/>
    <w:tmpl w:val="6CA67C28"/>
    <w:lvl w:ilvl="0" w:tplc="5F4C6DAA">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1"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0068EB"/>
    <w:multiLevelType w:val="hybridMultilevel"/>
    <w:tmpl w:val="3C9A5A0A"/>
    <w:lvl w:ilvl="0" w:tplc="4E0A33C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C4A7E2D"/>
    <w:multiLevelType w:val="hybridMultilevel"/>
    <w:tmpl w:val="D368DB12"/>
    <w:lvl w:ilvl="0" w:tplc="0E02CC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36"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0" w15:restartNumberingAfterBreak="0">
    <w:nsid w:val="6561125D"/>
    <w:multiLevelType w:val="hybridMultilevel"/>
    <w:tmpl w:val="54B2C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42"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6"/>
  </w:num>
  <w:num w:numId="2" w16cid:durableId="1247301319">
    <w:abstractNumId w:val="35"/>
  </w:num>
  <w:num w:numId="3" w16cid:durableId="1450782155">
    <w:abstractNumId w:val="24"/>
  </w:num>
  <w:num w:numId="4" w16cid:durableId="1541555312">
    <w:abstractNumId w:val="44"/>
  </w:num>
  <w:num w:numId="5" w16cid:durableId="480392342">
    <w:abstractNumId w:val="32"/>
  </w:num>
  <w:num w:numId="6" w16cid:durableId="385420008">
    <w:abstractNumId w:val="17"/>
  </w:num>
  <w:num w:numId="7" w16cid:durableId="2054303874">
    <w:abstractNumId w:val="5"/>
  </w:num>
  <w:num w:numId="8" w16cid:durableId="330722031">
    <w:abstractNumId w:val="4"/>
  </w:num>
  <w:num w:numId="9" w16cid:durableId="823162950">
    <w:abstractNumId w:val="26"/>
  </w:num>
  <w:num w:numId="10" w16cid:durableId="309794080">
    <w:abstractNumId w:val="14"/>
  </w:num>
  <w:num w:numId="11" w16cid:durableId="1234782727">
    <w:abstractNumId w:val="37"/>
  </w:num>
  <w:num w:numId="12" w16cid:durableId="1954440935">
    <w:abstractNumId w:val="8"/>
  </w:num>
  <w:num w:numId="13" w16cid:durableId="630063535">
    <w:abstractNumId w:val="38"/>
  </w:num>
  <w:num w:numId="14" w16cid:durableId="816653270">
    <w:abstractNumId w:val="10"/>
  </w:num>
  <w:num w:numId="15" w16cid:durableId="1954895770">
    <w:abstractNumId w:val="0"/>
  </w:num>
  <w:num w:numId="16" w16cid:durableId="401298185">
    <w:abstractNumId w:val="11"/>
  </w:num>
  <w:num w:numId="17" w16cid:durableId="532883372">
    <w:abstractNumId w:val="16"/>
  </w:num>
  <w:num w:numId="18" w16cid:durableId="496002614">
    <w:abstractNumId w:val="25"/>
  </w:num>
  <w:num w:numId="19" w16cid:durableId="1145124144">
    <w:abstractNumId w:val="34"/>
  </w:num>
  <w:num w:numId="20" w16cid:durableId="1128930953">
    <w:abstractNumId w:val="7"/>
  </w:num>
  <w:num w:numId="21" w16cid:durableId="1109004176">
    <w:abstractNumId w:val="22"/>
  </w:num>
  <w:num w:numId="22" w16cid:durableId="1914850945">
    <w:abstractNumId w:val="12"/>
  </w:num>
  <w:num w:numId="23" w16cid:durableId="1532378037">
    <w:abstractNumId w:val="19"/>
  </w:num>
  <w:num w:numId="24" w16cid:durableId="720787429">
    <w:abstractNumId w:val="28"/>
  </w:num>
  <w:num w:numId="25" w16cid:durableId="924611366">
    <w:abstractNumId w:val="43"/>
  </w:num>
  <w:num w:numId="26" w16cid:durableId="1424719134">
    <w:abstractNumId w:val="33"/>
  </w:num>
  <w:num w:numId="27" w16cid:durableId="78204392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9"/>
  </w:num>
  <w:num w:numId="29" w16cid:durableId="1863471546">
    <w:abstractNumId w:val="31"/>
  </w:num>
  <w:num w:numId="30" w16cid:durableId="1269697470">
    <w:abstractNumId w:val="41"/>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190460618">
    <w:abstractNumId w:val="42"/>
  </w:num>
  <w:num w:numId="35" w16cid:durableId="656345107">
    <w:abstractNumId w:val="36"/>
  </w:num>
  <w:num w:numId="36" w16cid:durableId="45614732">
    <w:abstractNumId w:val="21"/>
  </w:num>
  <w:num w:numId="37" w16cid:durableId="636182976">
    <w:abstractNumId w:val="39"/>
  </w:num>
  <w:num w:numId="38" w16cid:durableId="1459639672">
    <w:abstractNumId w:val="1"/>
  </w:num>
  <w:num w:numId="39" w16cid:durableId="117375970">
    <w:abstractNumId w:val="30"/>
  </w:num>
  <w:num w:numId="40" w16cid:durableId="900553502">
    <w:abstractNumId w:val="13"/>
  </w:num>
  <w:num w:numId="41" w16cid:durableId="1314455688">
    <w:abstractNumId w:val="9"/>
  </w:num>
  <w:num w:numId="42" w16cid:durableId="63992250">
    <w:abstractNumId w:val="18"/>
  </w:num>
  <w:num w:numId="43" w16cid:durableId="145821928">
    <w:abstractNumId w:val="3"/>
  </w:num>
  <w:num w:numId="44" w16cid:durableId="1352728637">
    <w:abstractNumId w:val="40"/>
  </w:num>
  <w:num w:numId="45" w16cid:durableId="1535540263">
    <w:abstractNumId w:val="23"/>
  </w:num>
  <w:num w:numId="46" w16cid:durableId="1039209035">
    <w:abstractNumId w:val="27"/>
  </w:num>
  <w:num w:numId="47" w16cid:durableId="659699192">
    <w:abstractNumId w:val="20"/>
  </w:num>
  <w:num w:numId="48" w16cid:durableId="149317892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1271"/>
          </w:tabs>
          <w:ind w:left="1271"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7BC"/>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2F7D"/>
    <w:rsid w:val="00DB40AF"/>
    <w:rsid w:val="00DB435A"/>
    <w:rsid w:val="00DC0687"/>
    <w:rsid w:val="00DC25A0"/>
    <w:rsid w:val="00DC2CF7"/>
    <w:rsid w:val="00DC67C9"/>
    <w:rsid w:val="00DC68E5"/>
    <w:rsid w:val="00DC759D"/>
    <w:rsid w:val="00DD2F80"/>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2270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2024-02-20T14:19:00Z</cp:lastPrinted>
  <dcterms:created xsi:type="dcterms:W3CDTF">2024-02-20T14:54:00Z</dcterms:created>
  <dcterms:modified xsi:type="dcterms:W3CDTF">2024-02-20T14:54:00Z</dcterms:modified>
</cp:coreProperties>
</file>