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«ТЕНДЕРНА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left"/>
        <w:tblInd w:w="-4" w:type="dxa"/>
        <w:tblLayout w:type="fixed"/>
        <w:tblCellMar>
          <w:top w:w="0" w:type="dxa"/>
          <w:left w:w="108" w:type="dxa"/>
          <w:bottom w:w="0" w:type="dxa"/>
          <w:right w:w="108" w:type="dxa"/>
        </w:tblCellMar>
      </w:tblPr>
      <w:tblGrid>
        <w:gridCol w:w="5616"/>
        <w:gridCol w:w="4704"/>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left="0" w:right="0" w:firstLine="709"/>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“Медичні матеріали: Рукавички оглядові латексні припудрені нестерильні M Рукавички медичні нітрилові оглядові нестерильні неприпудрені розмір М Рукавички латексні хірургічні припудрені стерильні 7,5 Рукавички медичні латексні хірургічні стерильні припудрені розмір 8.0 Бахіли Шприц ін'єкційний трьохкомпонентний одноразового використання місткістю 2 мл з голкою 23G( 0,6x30) Шприц ін'єкційний трьохкомпонентний одноразового використання місткістю 5 мл з голкою 22G (0,7x40) Шприц ін'єкційний 3-х компонентний одноразовий стерильний 10 мл з голкою, 21 G (0.8*40 мм) Шприц ін'єкційний 3-х компонентний одноразовий стерильний 20 мл з голкою, 21 G (0.8*40 мм) Шприц 3-х компонентный , 50 мл, Luer Lock, з голкою 18G (1,2 х 50 мм.) Система для вливання інфузійних розчинів одноразова з металевим шипом, ПР Бинт гіпсовий 20см х 2,7м Відріз марлевий медичний нестерильний 500смх90см, тип 17 Відріз марлевий медичний нестерильний з рентгеноконтрастною ниткою 1000см*90см, рулон, 1 РК нитка Пластир медичний тип Класичний (на бавовняній основі) 2х500 см Пластир медичний тип Класичний (на бавовняній основі) 3х500 см Шпатель (отоларингологічний), дерев'яний №100 Пластиковий контейнер для крові людини та її компонентів з розчинами антикоагулянту ЦФД (CPD) та консерванту САГМ (SAGM) потрійний одноразового використання стерильний WEGO 450мл з аксесуарами Канюля внутрішньовенна одноразового використання, з крильцями та ін’єкційним клапаном, розмір 20G Канюля внутрішньовенна одноразового використання, з крильцями та ін’єкційним клапаном, розмір 22G Канюля внутрішньовенна одноразового використання, з крильцями та ін’єкційним клапаном, розмір 26G Катетер венозний (підключичний) КВ-2 Катетер Фолея латексний, 2-ходовий, розмір Fr18 Канюля назальна (для дорослих) Голка для спінальної анестезії (тип вістря «Квінке»); розмір 22G x 4 ¾ (0,7мм x 120мм) Голка для спінальної анестезії (тип вістря «Квінке»); розмір 25G x 3 (0,5мм x 75мм) Голка для спінальної анестезії (тип вістря «Квінке»); розмір 26G x 3 ½ (0,45мм x 88мм) Клейонка медична підкладна гумотканева вид А Набір гінекологічний оглядовий стер.№3 Комплект акушерський (одноразового використання) комплектація: Шапочка з нетканого матеріалу, не стерильні (блакитні) Халат медичний хірургічний 140 см, рукав-манжет, стерильний (одноразового використання), розмір 52-54 (ХL) Халат медичний хірургічний 140 см, рукав-манжет, стерильний (одноразового використання), розмір 54-56 (ХXL) Лезо одн. до скальпелю р-р №21 Дренаж типу Редон №24 Дренаж типу Редон №15 Хірургічний шовний матеріал нейлон моно чорний 1, зворотньо-ріжуча 40мм 1,2 75см Хірургічний шовний матеріал нейлон моно чорний 2/0, зворотньо-ріжуча 30мм 3,8 75см Хірургічний шовний матеріал нейлон моно чорний 3/0, зворотньо-ріжуча 24мм 3,8 75см Кетгут звичайний без голки стерильний, №4, 1,5 м Хірургічні пов’язки тип Прозорий (на поліуретановій основі)10,0 × 10,0 см Пилка хірургічна Джильї, дротова, 500 мм х 1,4 мм Трубка ендотрахеальна з манжетою та портом кисню №7,5 (код ДК 021:2015 – 33140000-3. Медичні матеріали)”</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left="0" w:right="0" w:firstLine="709"/>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left"/>
        <w:tblInd w:w="-10" w:type="dxa"/>
        <w:tblLayout w:type="fixed"/>
        <w:tblCellMar>
          <w:top w:w="0" w:type="dxa"/>
          <w:left w:w="113" w:type="dxa"/>
          <w:bottom w:w="0" w:type="dxa"/>
          <w:right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left="0" w:right="-108" w:hanging="0"/>
              <w:jc w:val="center"/>
              <w:rPr>
                <w:rFonts w:ascii="Times New Roman" w:hAnsi="Times New Roman" w:eastAsia="Times New Roman" w:cs="Times New Roman"/>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t>Найменування товару</w:t>
            </w:r>
          </w:p>
        </w:tc>
        <w:tc>
          <w:tcPr>
            <w:tcW w:w="1365"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left="-106" w:right="-108" w:hanging="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left="0" w:right="0" w:hanging="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color w:val="auto"/>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left="0" w:right="-23" w:firstLine="360"/>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t>9</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left="0" w:right="-262" w:hanging="0"/>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left="0" w:right="0" w:hanging="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Покажчик"/>
    <w:basedOn w:val="Normal"/>
    <w:qFormat/>
    <w:pPr>
      <w:suppressLineNumbers/>
    </w:pPr>
    <w:rPr>
      <w:rFonts w:cs="Mangal"/>
    </w:rPr>
  </w:style>
  <w:style w:type="paragraph" w:styleId="Style20">
    <w:name w:val="Вміст таблиці"/>
    <w:basedOn w:val="Normal"/>
    <w:qFormat/>
    <w:pPr>
      <w:suppressLineNumbers/>
    </w:pPr>
    <w:rPr/>
  </w:style>
  <w:style w:type="paragraph" w:styleId="Style2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2">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LibreOffice/7.5.4.2$Windows_X86_64 LibreOffice_project/36ccfdc35048b057fd9854c757a8b67ec53977b6</Application>
  <AppVersion>15.0000</AppVersion>
  <Pages>3</Pages>
  <Words>969</Words>
  <Characters>6348</Characters>
  <CharactersWithSpaces>7336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