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«_____» ____________ 2023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5E7B2F">
      <w:pPr>
        <w:spacing w:after="0"/>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816F45" w:rsidRPr="00816F45">
        <w:rPr>
          <w:rFonts w:ascii="Times New Roman" w:hAnsi="Times New Roman" w:cs="Times New Roman"/>
          <w:b/>
          <w:sz w:val="24"/>
          <w:szCs w:val="24"/>
        </w:rPr>
        <w:t xml:space="preserve">Лабораторні реактиви для виконання досліджень на </w:t>
      </w:r>
      <w:proofErr w:type="spellStart"/>
      <w:r w:rsidR="00816F45" w:rsidRPr="00816F45">
        <w:rPr>
          <w:rFonts w:ascii="Times New Roman" w:hAnsi="Times New Roman" w:cs="Times New Roman"/>
          <w:b/>
          <w:sz w:val="24"/>
          <w:szCs w:val="24"/>
        </w:rPr>
        <w:t>Іфа-аналізаторі</w:t>
      </w:r>
      <w:proofErr w:type="spellEnd"/>
      <w:r w:rsidR="00816F45" w:rsidRPr="00816F45">
        <w:rPr>
          <w:rFonts w:ascii="Times New Roman" w:hAnsi="Times New Roman" w:cs="Times New Roman"/>
          <w:b/>
          <w:sz w:val="24"/>
          <w:szCs w:val="24"/>
        </w:rPr>
        <w:t xml:space="preserve"> </w:t>
      </w:r>
      <w:proofErr w:type="spellStart"/>
      <w:r w:rsidR="00816F45" w:rsidRPr="00816F45">
        <w:rPr>
          <w:rFonts w:ascii="Times New Roman" w:hAnsi="Times New Roman" w:cs="Times New Roman"/>
          <w:b/>
          <w:sz w:val="24"/>
          <w:szCs w:val="24"/>
        </w:rPr>
        <w:t>Labline</w:t>
      </w:r>
      <w:proofErr w:type="spellEnd"/>
      <w:r w:rsidR="00816F45" w:rsidRPr="00816F45">
        <w:rPr>
          <w:rFonts w:ascii="Times New Roman" w:hAnsi="Times New Roman" w:cs="Times New Roman"/>
          <w:b/>
          <w:sz w:val="24"/>
          <w:szCs w:val="24"/>
        </w:rPr>
        <w:t xml:space="preserve"> </w:t>
      </w:r>
      <w:r w:rsidR="00816F45">
        <w:rPr>
          <w:rFonts w:ascii="Times New Roman" w:hAnsi="Times New Roman" w:cs="Times New Roman"/>
          <w:b/>
          <w:sz w:val="24"/>
          <w:szCs w:val="24"/>
        </w:rPr>
        <w:t>–</w:t>
      </w:r>
      <w:r w:rsidR="00816F45" w:rsidRPr="00816F45">
        <w:rPr>
          <w:rFonts w:ascii="Times New Roman" w:hAnsi="Times New Roman" w:cs="Times New Roman"/>
          <w:b/>
          <w:sz w:val="24"/>
          <w:szCs w:val="24"/>
        </w:rPr>
        <w:t xml:space="preserve"> 028</w:t>
      </w:r>
      <w:r w:rsidR="00816F45">
        <w:rPr>
          <w:rFonts w:ascii="Times New Roman" w:hAnsi="Times New Roman" w:cs="Times New Roman"/>
          <w:b/>
          <w:sz w:val="24"/>
          <w:szCs w:val="24"/>
        </w:rPr>
        <w:t xml:space="preserve"> </w:t>
      </w:r>
      <w:r w:rsidR="00293E99" w:rsidRPr="00293E99">
        <w:rPr>
          <w:rFonts w:ascii="Times New Roman" w:hAnsi="Times New Roman" w:cs="Times New Roman"/>
          <w:b/>
          <w:sz w:val="24"/>
          <w:szCs w:val="24"/>
        </w:rPr>
        <w:t xml:space="preserve">та сечовому аналізаторі Лаура </w:t>
      </w:r>
      <w:proofErr w:type="spellStart"/>
      <w:r w:rsidR="00293E99" w:rsidRPr="00293E99">
        <w:rPr>
          <w:rFonts w:ascii="Times New Roman" w:hAnsi="Times New Roman" w:cs="Times New Roman"/>
          <w:b/>
          <w:sz w:val="24"/>
          <w:szCs w:val="24"/>
        </w:rPr>
        <w:t>Smart</w:t>
      </w:r>
      <w:proofErr w:type="spellEnd"/>
      <w:r w:rsidR="00293E99" w:rsidRPr="00293E99">
        <w:rPr>
          <w:rFonts w:ascii="Times New Roman" w:hAnsi="Times New Roman" w:cs="Times New Roman"/>
          <w:b/>
          <w:sz w:val="24"/>
          <w:szCs w:val="24"/>
        </w:rPr>
        <w:t xml:space="preserve"> </w:t>
      </w:r>
      <w:bookmarkStart w:id="0" w:name="_GoBack"/>
      <w:bookmarkEnd w:id="0"/>
      <w:r w:rsidR="00EF25BD" w:rsidRPr="00CE70A4">
        <w:rPr>
          <w:rFonts w:ascii="Times New Roman" w:hAnsi="Times New Roman" w:cs="Times New Roman"/>
          <w:b/>
          <w:sz w:val="24"/>
          <w:szCs w:val="24"/>
        </w:rPr>
        <w:t>(далі — 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залишковий термін зберігання не менше 7</w:t>
      </w:r>
      <w:r w:rsidR="00051D24">
        <w:rPr>
          <w:rFonts w:ascii="Times New Roman" w:eastAsia="Times New Roman" w:hAnsi="Times New Roman" w:cs="Times New Roman"/>
          <w:sz w:val="24"/>
          <w:szCs w:val="24"/>
        </w:rPr>
        <w:t>5</w:t>
      </w:r>
      <w:r w:rsidR="005E7B2F" w:rsidRPr="005E7B2F">
        <w:rPr>
          <w:rFonts w:ascii="Times New Roman" w:eastAsia="Times New Roman" w:hAnsi="Times New Roman" w:cs="Times New Roman"/>
          <w:sz w:val="24"/>
          <w:szCs w:val="24"/>
        </w:rPr>
        <w:t>%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8F6B5D">
        <w:rPr>
          <w:rFonts w:ascii="Times New Roman" w:eastAsia="Times New Roman" w:hAnsi="Times New Roman" w:cs="Times New Roman"/>
          <w:b/>
          <w:sz w:val="24"/>
          <w:szCs w:val="24"/>
        </w:rPr>
        <w:t>20</w:t>
      </w:r>
      <w:r w:rsidR="00C53CC9" w:rsidRPr="00CE70A4">
        <w:rPr>
          <w:rFonts w:ascii="Times New Roman" w:eastAsia="Times New Roman" w:hAnsi="Times New Roman" w:cs="Times New Roman"/>
          <w:b/>
          <w:sz w:val="24"/>
          <w:szCs w:val="24"/>
        </w:rPr>
        <w:t>.12</w:t>
      </w:r>
      <w:r w:rsidRPr="00CE70A4">
        <w:rPr>
          <w:rFonts w:ascii="Times New Roman" w:eastAsia="Times New Roman" w:hAnsi="Times New Roman" w:cs="Times New Roman"/>
          <w:b/>
          <w:sz w:val="24"/>
          <w:szCs w:val="24"/>
        </w:rPr>
        <w:t>.2023</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31.12.2023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«___»_________20___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1D24"/>
    <w:rsid w:val="00054462"/>
    <w:rsid w:val="00090D19"/>
    <w:rsid w:val="000943CF"/>
    <w:rsid w:val="000D55AC"/>
    <w:rsid w:val="00175AD2"/>
    <w:rsid w:val="001E0594"/>
    <w:rsid w:val="001F432B"/>
    <w:rsid w:val="00293E99"/>
    <w:rsid w:val="002C239F"/>
    <w:rsid w:val="002D3C97"/>
    <w:rsid w:val="002F7567"/>
    <w:rsid w:val="003207CF"/>
    <w:rsid w:val="00376DB2"/>
    <w:rsid w:val="003B10CC"/>
    <w:rsid w:val="004C6DC4"/>
    <w:rsid w:val="00590073"/>
    <w:rsid w:val="005C5DB0"/>
    <w:rsid w:val="005D0D88"/>
    <w:rsid w:val="005E7B2F"/>
    <w:rsid w:val="0066185B"/>
    <w:rsid w:val="006A1E48"/>
    <w:rsid w:val="006F4FD4"/>
    <w:rsid w:val="00713A0E"/>
    <w:rsid w:val="00751B68"/>
    <w:rsid w:val="007D7A5D"/>
    <w:rsid w:val="00816F45"/>
    <w:rsid w:val="008B5BDE"/>
    <w:rsid w:val="008B7A62"/>
    <w:rsid w:val="008D1D1E"/>
    <w:rsid w:val="008F6B5D"/>
    <w:rsid w:val="009218AA"/>
    <w:rsid w:val="009226C6"/>
    <w:rsid w:val="00AF274A"/>
    <w:rsid w:val="00B2077A"/>
    <w:rsid w:val="00B275AB"/>
    <w:rsid w:val="00B71356"/>
    <w:rsid w:val="00B717D9"/>
    <w:rsid w:val="00BC5CC0"/>
    <w:rsid w:val="00BD24A5"/>
    <w:rsid w:val="00BD61D3"/>
    <w:rsid w:val="00C53CC9"/>
    <w:rsid w:val="00C546F9"/>
    <w:rsid w:val="00C96EAE"/>
    <w:rsid w:val="00CC4275"/>
    <w:rsid w:val="00CE70A4"/>
    <w:rsid w:val="00D66CE5"/>
    <w:rsid w:val="00D94D23"/>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333147881">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17501</Words>
  <Characters>9976</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59</cp:revision>
  <dcterms:created xsi:type="dcterms:W3CDTF">2022-11-21T17:41:00Z</dcterms:created>
  <dcterms:modified xsi:type="dcterms:W3CDTF">2023-10-30T09:17:00Z</dcterms:modified>
</cp:coreProperties>
</file>