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0B" w:rsidRDefault="00097099" w:rsidP="00FA6DDD">
      <w:pPr>
        <w:keepNext/>
        <w:keepLines/>
        <w:ind w:left="6237"/>
        <w:rPr>
          <w:b/>
          <w:sz w:val="20"/>
          <w:szCs w:val="20"/>
          <w:lang w:val="uk-UA"/>
        </w:rPr>
      </w:pPr>
      <w:r w:rsidRPr="00FA6DDD">
        <w:rPr>
          <w:b/>
          <w:sz w:val="20"/>
          <w:szCs w:val="20"/>
        </w:rPr>
        <w:t xml:space="preserve">Додаток № 2 </w:t>
      </w:r>
    </w:p>
    <w:p w:rsidR="008D060B" w:rsidRPr="00247825" w:rsidRDefault="008D060B" w:rsidP="008D060B">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8D060B" w:rsidRPr="00247825" w:rsidRDefault="008D060B" w:rsidP="008D060B">
      <w:pPr>
        <w:ind w:left="6096"/>
        <w:rPr>
          <w:rFonts w:eastAsia="Calibri"/>
          <w:lang w:val="uk-UA" w:eastAsia="en-US"/>
        </w:rPr>
      </w:pPr>
      <w:r w:rsidRPr="00247825">
        <w:rPr>
          <w:rFonts w:eastAsia="Calibri"/>
          <w:lang w:eastAsia="en-US"/>
        </w:rPr>
        <w:t>Автопідйомник</w:t>
      </w:r>
      <w:r>
        <w:rPr>
          <w:rFonts w:eastAsia="Calibri"/>
          <w:lang w:val="uk-UA" w:eastAsia="en-US"/>
        </w:rPr>
        <w:t>а</w:t>
      </w:r>
      <w:r w:rsidRPr="00247825">
        <w:rPr>
          <w:rFonts w:eastAsia="Calibri"/>
          <w:lang w:eastAsia="en-US"/>
        </w:rPr>
        <w:t xml:space="preserve"> </w:t>
      </w:r>
      <w:r w:rsidRPr="00247825">
        <w:rPr>
          <w:rFonts w:eastAsia="Calibri"/>
          <w:lang w:val="uk-UA" w:eastAsia="en-US"/>
        </w:rPr>
        <w:t xml:space="preserve">  </w:t>
      </w:r>
      <w:r w:rsidRPr="00247825">
        <w:rPr>
          <w:rFonts w:eastAsia="Calibri"/>
          <w:lang w:eastAsia="en-US"/>
        </w:rPr>
        <w:t xml:space="preserve">на шасі </w:t>
      </w:r>
      <w:r w:rsidRPr="00247825">
        <w:rPr>
          <w:rFonts w:eastAsia="Calibri"/>
          <w:lang w:val="en-US" w:eastAsia="en-US"/>
        </w:rPr>
        <w:t>DAYUNCGC</w:t>
      </w:r>
      <w:r w:rsidRPr="00247825">
        <w:rPr>
          <w:rFonts w:eastAsia="Calibri"/>
          <w:lang w:eastAsia="en-US"/>
        </w:rPr>
        <w:t xml:space="preserve">1141 </w:t>
      </w:r>
      <w:r w:rsidRPr="00247825">
        <w:rPr>
          <w:rFonts w:eastAsia="Calibri"/>
          <w:lang w:val="uk-UA" w:eastAsia="en-US"/>
        </w:rPr>
        <w:t>або еквівалент</w:t>
      </w:r>
    </w:p>
    <w:p w:rsidR="008D060B" w:rsidRPr="00247825" w:rsidRDefault="008D060B" w:rsidP="008D060B">
      <w:pPr>
        <w:ind w:left="6096"/>
        <w:jc w:val="both"/>
        <w:rPr>
          <w:i/>
          <w:lang w:val="uk-UA"/>
        </w:rPr>
      </w:pPr>
      <w:r w:rsidRPr="00247825">
        <w:rPr>
          <w:b/>
          <w:lang w:val="uk-UA"/>
        </w:rPr>
        <w:t xml:space="preserve">ДК 021:2015 “Єдиний закупівельний словник” - 34140000-0 — Великовантажні мототранспортні засоби </w:t>
      </w:r>
      <w:r w:rsidRPr="00247825">
        <w:rPr>
          <w:b/>
          <w:bCs/>
          <w:lang w:val="uk-UA"/>
        </w:rPr>
        <w:t xml:space="preserve"> </w:t>
      </w:r>
    </w:p>
    <w:p w:rsidR="00097099" w:rsidRDefault="00097099" w:rsidP="00FA6DDD">
      <w:pPr>
        <w:ind w:left="6379"/>
        <w:jc w:val="both"/>
        <w:rPr>
          <w:b/>
          <w:lang w:val="uk-UA"/>
        </w:rPr>
      </w:pPr>
    </w:p>
    <w:p w:rsidR="00FA6DDD" w:rsidRPr="00FA6DDD" w:rsidRDefault="00FA6DDD" w:rsidP="00FA6DDD">
      <w:pPr>
        <w:ind w:left="6379"/>
        <w:jc w:val="both"/>
        <w:rPr>
          <w:b/>
          <w:lang w:val="uk-UA"/>
        </w:rPr>
      </w:pPr>
    </w:p>
    <w:p w:rsidR="00097099" w:rsidRDefault="00097099" w:rsidP="00097099">
      <w:pPr>
        <w:jc w:val="center"/>
        <w:rPr>
          <w:b/>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учасників</w:t>
      </w:r>
      <w:r>
        <w:rPr>
          <w:b/>
          <w:highlight w:val="white"/>
        </w:rPr>
        <w:t>)</w:t>
      </w:r>
    </w:p>
    <w:p w:rsidR="00DA46AA" w:rsidRPr="00DA46AA" w:rsidRDefault="00DA46AA" w:rsidP="00097099">
      <w:pPr>
        <w:jc w:val="center"/>
        <w:rPr>
          <w:b/>
          <w:highlight w:val="white"/>
          <w:lang w:val="uk-UA"/>
        </w:rPr>
      </w:pPr>
    </w:p>
    <w:tbl>
      <w:tblPr>
        <w:tblW w:w="9675" w:type="dxa"/>
        <w:tblInd w:w="-204" w:type="dxa"/>
        <w:tblLayout w:type="fixed"/>
        <w:tblLook w:val="0400"/>
      </w:tblPr>
      <w:tblGrid>
        <w:gridCol w:w="645"/>
        <w:gridCol w:w="4995"/>
        <w:gridCol w:w="4035"/>
      </w:tblGrid>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DA46AA" w:rsidRDefault="00DA46AA"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DA46AA" w:rsidRDefault="00DA46AA"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 xml:space="preserve">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lastRenderedPageBreak/>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w:t>
            </w:r>
            <w:r>
              <w:rPr>
                <w:highlight w:val="white"/>
              </w:rPr>
              <w:lastRenderedPageBreak/>
              <w:t>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p>
          <w:p w:rsidR="00DA46AA" w:rsidRDefault="00DA46AA"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A46AA" w:rsidRDefault="00DA46AA"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ind w:left="69" w:right="242" w:hanging="69"/>
              <w:jc w:val="both"/>
            </w:pPr>
            <w:r>
              <w:rPr>
                <w:highlight w:val="white"/>
              </w:rPr>
              <w:t xml:space="preserve"> </w:t>
            </w:r>
            <w:r>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t>вл</w:t>
            </w:r>
            <w:proofErr w:type="gramEnd"/>
            <w: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A46AA" w:rsidRDefault="00DA46AA" w:rsidP="00B538EF">
            <w:pPr>
              <w:ind w:left="69" w:right="242" w:hanging="69"/>
              <w:jc w:val="both"/>
            </w:pPr>
          </w:p>
          <w:p w:rsidR="00DA46AA" w:rsidRDefault="00DA46AA" w:rsidP="00B538EF">
            <w:pPr>
              <w:ind w:left="69" w:right="242" w:hanging="69"/>
              <w:jc w:val="both"/>
            </w:pPr>
            <w:r>
              <w:t>або</w:t>
            </w:r>
          </w:p>
          <w:p w:rsidR="00DA46AA" w:rsidRDefault="00DA46AA" w:rsidP="00B538EF">
            <w:pPr>
              <w:ind w:left="69" w:right="242" w:hanging="69"/>
              <w:jc w:val="both"/>
            </w:pPr>
          </w:p>
          <w:p w:rsidR="00DA46AA" w:rsidRDefault="00DA46AA" w:rsidP="00B538EF">
            <w:pPr>
              <w:ind w:left="69" w:right="242" w:hanging="69"/>
              <w:jc w:val="both"/>
              <w:rPr>
                <w:color w:val="333333"/>
                <w:highlight w:val="white"/>
              </w:rPr>
            </w:pPr>
            <w:r>
              <w:t>Учасник процедури закупі</w:t>
            </w:r>
            <w:proofErr w:type="gramStart"/>
            <w:r>
              <w:t>вл</w:t>
            </w:r>
            <w:proofErr w:type="gramEnd"/>
            <w: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7099" w:rsidRPr="00097099" w:rsidRDefault="00097099" w:rsidP="00097099">
      <w:pPr>
        <w:rPr>
          <w:b/>
          <w:highlight w:val="white"/>
          <w:lang w:val="uk-UA"/>
        </w:rPr>
      </w:pPr>
    </w:p>
    <w:p w:rsidR="00097099" w:rsidRPr="00097099" w:rsidRDefault="00097099" w:rsidP="00097099">
      <w:pPr>
        <w:jc w:val="center"/>
        <w:rPr>
          <w:b/>
          <w:sz w:val="28"/>
          <w:szCs w:val="28"/>
          <w:highlight w:val="white"/>
        </w:rPr>
      </w:pPr>
    </w:p>
    <w:p w:rsidR="00097099" w:rsidRDefault="00097099" w:rsidP="00097099">
      <w:pPr>
        <w:jc w:val="center"/>
        <w:rPr>
          <w:b/>
          <w:sz w:val="28"/>
          <w:szCs w:val="28"/>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переможців)</w:t>
      </w:r>
    </w:p>
    <w:p w:rsidR="001E741D" w:rsidRDefault="001E741D" w:rsidP="00097099">
      <w:pPr>
        <w:jc w:val="center"/>
        <w:rPr>
          <w:b/>
          <w:sz w:val="28"/>
          <w:szCs w:val="28"/>
          <w:highlight w:val="white"/>
          <w:lang w:val="uk-UA"/>
        </w:rPr>
      </w:pPr>
    </w:p>
    <w:tbl>
      <w:tblPr>
        <w:tblW w:w="9763" w:type="dxa"/>
        <w:tblInd w:w="-204" w:type="dxa"/>
        <w:tblLayout w:type="fixed"/>
        <w:tblLook w:val="0400"/>
      </w:tblPr>
      <w:tblGrid>
        <w:gridCol w:w="645"/>
        <w:gridCol w:w="5083"/>
        <w:gridCol w:w="4035"/>
      </w:tblGrid>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1E741D" w:rsidRDefault="001E741D"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E741D" w:rsidRDefault="001E741D"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w:t>
            </w:r>
            <w:proofErr w:type="gramStart"/>
            <w:r>
              <w:t>вл</w:t>
            </w:r>
            <w:proofErr w:type="gramEnd"/>
            <w:r>
              <w:t>і, не внесено до Єдиного державного реєстру осіб, які вчинили корупційні або пов’язані з корупцією правопорушення.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t>вл</w:t>
            </w:r>
            <w:proofErr w:type="gramEnd"/>
            <w: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E741D" w:rsidRDefault="001E741D"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ind w:right="-55"/>
              <w:jc w:val="both"/>
              <w:rPr>
                <w:highlight w:val="white"/>
              </w:rPr>
            </w:pPr>
            <w:r>
              <w:rPr>
                <w:highlight w:val="white"/>
              </w:rPr>
              <w:t>Переможець процедури закупі</w:t>
            </w:r>
            <w:proofErr w:type="gramStart"/>
            <w:r>
              <w:rPr>
                <w:highlight w:val="white"/>
              </w:rPr>
              <w:t>вл</w:t>
            </w:r>
            <w:proofErr w:type="gramEnd"/>
            <w:r>
              <w:rPr>
                <w:highlight w:val="white"/>
              </w:rPr>
              <w:t>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1E741D" w:rsidRDefault="001E741D" w:rsidP="00B538EF">
            <w:pPr>
              <w:spacing w:before="120" w:after="240"/>
              <w:ind w:right="178"/>
              <w:jc w:val="both"/>
              <w:rPr>
                <w:highlight w:val="white"/>
              </w:rPr>
            </w:pPr>
            <w:r>
              <w:rPr>
                <w:highlight w:val="white"/>
              </w:rPr>
              <w:t>Цей пункт не застосовується, якщо вартість закупі</w:t>
            </w:r>
            <w:proofErr w:type="gramStart"/>
            <w:r>
              <w:rPr>
                <w:highlight w:val="white"/>
              </w:rPr>
              <w:t>вл</w:t>
            </w:r>
            <w:proofErr w:type="gramEnd"/>
            <w:r>
              <w:rPr>
                <w:highlight w:val="white"/>
              </w:rPr>
              <w:t>і товару (товарів), послуги (послуг) або робіт є меншою ніж 20 мільйонів гривень (у тому числі за лотом).</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jc w:val="both"/>
              <w:rPr>
                <w:color w:val="333333"/>
              </w:rPr>
            </w:pPr>
            <w:r>
              <w:rPr>
                <w:color w:val="333333"/>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333333"/>
              </w:rPr>
              <w:t>вл</w:t>
            </w:r>
            <w:proofErr w:type="gramEnd"/>
            <w:r>
              <w:rPr>
                <w:color w:val="333333"/>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E741D" w:rsidRDefault="001E741D" w:rsidP="00B538EF">
            <w:pPr>
              <w:jc w:val="both"/>
              <w:rPr>
                <w:color w:val="333333"/>
              </w:rPr>
            </w:pPr>
          </w:p>
          <w:p w:rsidR="001E741D" w:rsidRDefault="001E741D" w:rsidP="00B538EF">
            <w:pPr>
              <w:jc w:val="both"/>
              <w:rPr>
                <w:color w:val="333333"/>
              </w:rPr>
            </w:pPr>
            <w:r>
              <w:rPr>
                <w:color w:val="333333"/>
              </w:rPr>
              <w:t>або</w:t>
            </w:r>
          </w:p>
          <w:p w:rsidR="001E741D" w:rsidRDefault="001E741D" w:rsidP="00B538EF">
            <w:pPr>
              <w:jc w:val="both"/>
              <w:rPr>
                <w:color w:val="333333"/>
              </w:rPr>
            </w:pPr>
          </w:p>
          <w:p w:rsidR="001E741D" w:rsidRDefault="001E741D" w:rsidP="00B538EF">
            <w:pPr>
              <w:jc w:val="both"/>
              <w:rPr>
                <w:color w:val="333333"/>
                <w:highlight w:val="white"/>
              </w:rPr>
            </w:pPr>
            <w:r>
              <w:rPr>
                <w:color w:val="333333"/>
              </w:rPr>
              <w:t>Переможець процедури закупі</w:t>
            </w:r>
            <w:proofErr w:type="gramStart"/>
            <w:r>
              <w:rPr>
                <w:color w:val="333333"/>
              </w:rPr>
              <w:t>вл</w:t>
            </w:r>
            <w:proofErr w:type="gramEnd"/>
            <w:r>
              <w:rPr>
                <w:color w:val="333333"/>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41D" w:rsidRPr="001E741D" w:rsidRDefault="001E741D" w:rsidP="00097099">
      <w:pPr>
        <w:jc w:val="center"/>
        <w:rPr>
          <w:b/>
          <w:sz w:val="28"/>
          <w:szCs w:val="28"/>
          <w:highlight w:val="white"/>
        </w:rPr>
      </w:pPr>
    </w:p>
    <w:p w:rsidR="001E741D" w:rsidRDefault="001E741D" w:rsidP="00097099">
      <w:pPr>
        <w:jc w:val="center"/>
        <w:rPr>
          <w:b/>
          <w:sz w:val="28"/>
          <w:szCs w:val="28"/>
          <w:highlight w:val="white"/>
          <w:lang w:val="uk-UA"/>
        </w:rPr>
      </w:pPr>
    </w:p>
    <w:p w:rsidR="001E741D" w:rsidRPr="001E741D" w:rsidRDefault="001E741D" w:rsidP="00097099">
      <w:pPr>
        <w:jc w:val="center"/>
        <w:rPr>
          <w:b/>
          <w:sz w:val="28"/>
          <w:szCs w:val="28"/>
          <w:highlight w:val="white"/>
          <w:lang w:val="uk-UA"/>
        </w:rPr>
      </w:pPr>
    </w:p>
    <w:p w:rsidR="001E741D" w:rsidRPr="001E741D" w:rsidRDefault="001E741D" w:rsidP="001E741D">
      <w:pPr>
        <w:jc w:val="both"/>
        <w:rPr>
          <w:highlight w:val="white"/>
          <w:lang w:val="uk-UA"/>
        </w:rPr>
      </w:pPr>
      <w:r w:rsidRPr="001E741D">
        <w:rPr>
          <w:lang w:val="uk-UA"/>
        </w:rPr>
        <w:t xml:space="preserve">* </w:t>
      </w:r>
      <w:r w:rsidRPr="001E741D">
        <w:rPr>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1E741D">
        <w:rPr>
          <w:lang w:val="uk-UA"/>
        </w:rPr>
        <w:t>у процедурі закупівлі.</w:t>
      </w:r>
    </w:p>
    <w:p w:rsidR="001E741D" w:rsidRDefault="001E741D" w:rsidP="001E741D">
      <w:pPr>
        <w:jc w:val="both"/>
      </w:pPr>
      <w:r>
        <w:t>У разі, якщо переможець процедури закупі</w:t>
      </w:r>
      <w:proofErr w:type="gramStart"/>
      <w:r>
        <w:t>вл</w:t>
      </w:r>
      <w:proofErr w:type="gramEnd"/>
      <w:r>
        <w:t xml:space="preserve">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w:t>
      </w:r>
      <w:proofErr w:type="gramStart"/>
      <w:r>
        <w:t>п</w:t>
      </w:r>
      <w:proofErr w:type="gramEnd"/>
      <w: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099" w:rsidRDefault="00097099" w:rsidP="00097099">
      <w:pPr>
        <w:jc w:val="both"/>
      </w:pPr>
    </w:p>
    <w:p w:rsidR="00097099" w:rsidRDefault="00097099" w:rsidP="00097099">
      <w:pPr>
        <w:rPr>
          <w:b/>
        </w:rPr>
      </w:pPr>
    </w:p>
    <w:p w:rsidR="0007387C" w:rsidRPr="00533B75" w:rsidRDefault="0007387C" w:rsidP="00533B75"/>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7387C"/>
    <w:rsid w:val="00097099"/>
    <w:rsid w:val="000B0438"/>
    <w:rsid w:val="001171FD"/>
    <w:rsid w:val="00122039"/>
    <w:rsid w:val="001E741D"/>
    <w:rsid w:val="00214AB1"/>
    <w:rsid w:val="002639C3"/>
    <w:rsid w:val="00392A8E"/>
    <w:rsid w:val="003F24A4"/>
    <w:rsid w:val="003F6AD2"/>
    <w:rsid w:val="00513E89"/>
    <w:rsid w:val="00533B75"/>
    <w:rsid w:val="008B21AB"/>
    <w:rsid w:val="008D060B"/>
    <w:rsid w:val="00981A7B"/>
    <w:rsid w:val="009D3F04"/>
    <w:rsid w:val="009E5997"/>
    <w:rsid w:val="00A4593C"/>
    <w:rsid w:val="00AC5FC8"/>
    <w:rsid w:val="00C1660A"/>
    <w:rsid w:val="00CA473C"/>
    <w:rsid w:val="00D569CE"/>
    <w:rsid w:val="00DA46AA"/>
    <w:rsid w:val="00E41ABA"/>
    <w:rsid w:val="00E46B7B"/>
    <w:rsid w:val="00E95F1A"/>
    <w:rsid w:val="00FA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ascii="Calibri" w:eastAsia="Calibri" w:hAnsi="Calibri"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cs="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2022-09-21T08:46:00Z</cp:lastPrinted>
  <dcterms:created xsi:type="dcterms:W3CDTF">2023-03-01T09:52:00Z</dcterms:created>
  <dcterms:modified xsi:type="dcterms:W3CDTF">2023-03-02T15:51:00Z</dcterms:modified>
</cp:coreProperties>
</file>